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22" w:rsidRPr="00CC3727" w:rsidRDefault="00165722" w:rsidP="00CC3727">
      <w:pPr>
        <w:pStyle w:val="Heading1"/>
      </w:pPr>
      <w:bookmarkStart w:id="0" w:name="_Toc357508203"/>
      <w:r w:rsidRPr="00CC3727">
        <w:t>The University of Sydney Disability Action Plan 2013–18</w:t>
      </w:r>
      <w:bookmarkEnd w:id="0"/>
    </w:p>
    <w:p w:rsidR="00202A92" w:rsidRPr="00CC3727" w:rsidRDefault="00202A92" w:rsidP="00CC3727">
      <w:pPr>
        <w:pStyle w:val="Heading2"/>
      </w:pPr>
      <w:bookmarkStart w:id="1" w:name="_Toc357508204"/>
      <w:r w:rsidRPr="00CC3727">
        <w:t>Foreword from the Vice-Chancellor</w:t>
      </w:r>
      <w:bookmarkEnd w:id="1"/>
    </w:p>
    <w:p w:rsidR="00202A92" w:rsidRPr="00614876" w:rsidRDefault="00202A92" w:rsidP="00CC3727">
      <w:r w:rsidRPr="00614876">
        <w:t>The University’s first Disability Action Plan was lodged with the Human Rights and Equal Opportunity Commission in 1999. This is the University’s third Disability Action Plan and over the last 13 years the University has achieved key milestones in its journey to improve and increase access and inclusion for people with disabilities.</w:t>
      </w:r>
    </w:p>
    <w:p w:rsidR="00202A92" w:rsidRPr="00614876" w:rsidRDefault="00202A92" w:rsidP="00CC3727">
      <w:r w:rsidRPr="00614876">
        <w:t xml:space="preserve">We are, of course, committed to meeting our legislative obligations under the </w:t>
      </w:r>
      <w:r w:rsidRPr="00614876">
        <w:rPr>
          <w:i/>
        </w:rPr>
        <w:t>Convention on the Rights of Persons with Disabilities</w:t>
      </w:r>
      <w:r w:rsidRPr="00614876">
        <w:t xml:space="preserve">, the </w:t>
      </w:r>
      <w:r w:rsidRPr="00614876">
        <w:rPr>
          <w:i/>
        </w:rPr>
        <w:t>Disability Discrimination Act 1992</w:t>
      </w:r>
      <w:r w:rsidRPr="00614876">
        <w:t xml:space="preserve"> (</w:t>
      </w:r>
      <w:proofErr w:type="spellStart"/>
      <w:r w:rsidRPr="00614876">
        <w:t>Cth</w:t>
      </w:r>
      <w:proofErr w:type="spellEnd"/>
      <w:r w:rsidRPr="00614876">
        <w:t>) and the</w:t>
      </w:r>
      <w:r w:rsidRPr="00614876">
        <w:rPr>
          <w:i/>
        </w:rPr>
        <w:t xml:space="preserve"> Disability Standards for Education 2005</w:t>
      </w:r>
      <w:r w:rsidRPr="00614876">
        <w:t>. But, more importantly, if we are to be a university in which the brightest researchers and the most promising students can thrive and realise their full potential, we must ensure that we provide a learning and working environment which is inclusive and accessible to all our students, staff and visitors.</w:t>
      </w:r>
    </w:p>
    <w:p w:rsidR="00202A92" w:rsidRPr="004D6773" w:rsidRDefault="00202A92" w:rsidP="00CC3727">
      <w:r w:rsidRPr="00614876">
        <w:t>As a University and a community we still have more to achieve in access and inclusion</w:t>
      </w:r>
      <w:r w:rsidR="00356EBA" w:rsidRPr="00614876">
        <w:t>.</w:t>
      </w:r>
      <w:r w:rsidRPr="00614876">
        <w:t xml:space="preserve"> I welcome the University’s Disability Action Plan 2013–18 and urge the whole University community to commit to working towards the achievement of its objectives.</w:t>
      </w:r>
    </w:p>
    <w:p w:rsidR="00202A92" w:rsidRPr="004D6773" w:rsidRDefault="00202A92" w:rsidP="00CC3727">
      <w:pPr>
        <w:rPr>
          <w:b/>
        </w:rPr>
      </w:pPr>
      <w:r w:rsidRPr="004D6773">
        <w:rPr>
          <w:b/>
        </w:rPr>
        <w:t>Dr Michael Spence</w:t>
      </w:r>
    </w:p>
    <w:p w:rsidR="00493D8A" w:rsidRPr="00A468C2" w:rsidRDefault="00202A92" w:rsidP="00CC3727">
      <w:r w:rsidRPr="004D6773">
        <w:t>Vice-Chancellor and Principal</w:t>
      </w:r>
    </w:p>
    <w:p w:rsidR="00CC3727" w:rsidRPr="00987C7F" w:rsidRDefault="00493D8A" w:rsidP="00CC3727">
      <w:pPr>
        <w:pStyle w:val="Heading2"/>
      </w:pPr>
      <w:r>
        <w:rPr>
          <w:highlight w:val="yellow"/>
        </w:rPr>
        <w:br w:type="page"/>
      </w:r>
    </w:p>
    <w:p w:rsidR="00425DAB" w:rsidRPr="00987C7F" w:rsidRDefault="00165722" w:rsidP="00CC3727">
      <w:pPr>
        <w:pStyle w:val="Heading2"/>
      </w:pPr>
      <w:r w:rsidRPr="00987C7F">
        <w:lastRenderedPageBreak/>
        <w:t xml:space="preserve"> </w:t>
      </w:r>
    </w:p>
    <w:bookmarkStart w:id="2" w:name="_Toc357508205" w:displacedByCustomXml="next"/>
    <w:sdt>
      <w:sdtPr>
        <w:rPr>
          <w:rFonts w:cs="Times New Roman"/>
          <w:b w:val="0"/>
          <w:bCs w:val="0"/>
          <w:caps w:val="0"/>
          <w:szCs w:val="24"/>
        </w:rPr>
        <w:id w:val="1890224498"/>
        <w:docPartObj>
          <w:docPartGallery w:val="Table of Contents"/>
          <w:docPartUnique/>
        </w:docPartObj>
      </w:sdtPr>
      <w:sdtEndPr>
        <w:rPr>
          <w:noProof/>
        </w:rPr>
      </w:sdtEndPr>
      <w:sdtContent>
        <w:p w:rsidR="00425DAB" w:rsidRDefault="00425DAB" w:rsidP="00E1390B">
          <w:pPr>
            <w:pStyle w:val="Heading2"/>
          </w:pPr>
          <w:r>
            <w:t>Contents</w:t>
          </w:r>
          <w:bookmarkEnd w:id="2"/>
        </w:p>
        <w:p w:rsidR="00974300" w:rsidRDefault="00425DAB">
          <w:pPr>
            <w:pStyle w:val="TOC1"/>
            <w:tabs>
              <w:tab w:val="right" w:leader="dot" w:pos="9967"/>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357508203" w:history="1">
            <w:r w:rsidR="00974300" w:rsidRPr="00815BF5">
              <w:rPr>
                <w:rStyle w:val="Hyperlink"/>
                <w:noProof/>
              </w:rPr>
              <w:t>The University of Sydney Disability Action Plan 2013–18</w:t>
            </w:r>
            <w:r w:rsidR="00974300">
              <w:rPr>
                <w:noProof/>
                <w:webHidden/>
              </w:rPr>
              <w:tab/>
            </w:r>
            <w:r w:rsidR="00974300">
              <w:rPr>
                <w:noProof/>
                <w:webHidden/>
              </w:rPr>
              <w:fldChar w:fldCharType="begin"/>
            </w:r>
            <w:r w:rsidR="00974300">
              <w:rPr>
                <w:noProof/>
                <w:webHidden/>
              </w:rPr>
              <w:instrText xml:space="preserve"> PAGEREF _Toc357508203 \h </w:instrText>
            </w:r>
            <w:r w:rsidR="00974300">
              <w:rPr>
                <w:noProof/>
                <w:webHidden/>
              </w:rPr>
            </w:r>
            <w:r w:rsidR="00974300">
              <w:rPr>
                <w:noProof/>
                <w:webHidden/>
              </w:rPr>
              <w:fldChar w:fldCharType="separate"/>
            </w:r>
            <w:r w:rsidR="00974300">
              <w:rPr>
                <w:noProof/>
                <w:webHidden/>
              </w:rPr>
              <w:t>1</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04" w:history="1">
            <w:r w:rsidR="00974300" w:rsidRPr="00815BF5">
              <w:rPr>
                <w:rStyle w:val="Hyperlink"/>
                <w:noProof/>
              </w:rPr>
              <w:t>Foreword from the Vice-Chancellor</w:t>
            </w:r>
            <w:r w:rsidR="00974300">
              <w:rPr>
                <w:noProof/>
                <w:webHidden/>
              </w:rPr>
              <w:tab/>
            </w:r>
            <w:r w:rsidR="00974300">
              <w:rPr>
                <w:noProof/>
                <w:webHidden/>
              </w:rPr>
              <w:fldChar w:fldCharType="begin"/>
            </w:r>
            <w:r w:rsidR="00974300">
              <w:rPr>
                <w:noProof/>
                <w:webHidden/>
              </w:rPr>
              <w:instrText xml:space="preserve"> PAGEREF _Toc357508204 \h </w:instrText>
            </w:r>
            <w:r w:rsidR="00974300">
              <w:rPr>
                <w:noProof/>
                <w:webHidden/>
              </w:rPr>
            </w:r>
            <w:r w:rsidR="00974300">
              <w:rPr>
                <w:noProof/>
                <w:webHidden/>
              </w:rPr>
              <w:fldChar w:fldCharType="separate"/>
            </w:r>
            <w:r w:rsidR="00974300">
              <w:rPr>
                <w:noProof/>
                <w:webHidden/>
              </w:rPr>
              <w:t>1</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05" w:history="1">
            <w:r w:rsidR="00974300" w:rsidRPr="00815BF5">
              <w:rPr>
                <w:rStyle w:val="Hyperlink"/>
                <w:noProof/>
              </w:rPr>
              <w:t>Contents</w:t>
            </w:r>
            <w:r w:rsidR="00974300">
              <w:rPr>
                <w:noProof/>
                <w:webHidden/>
              </w:rPr>
              <w:tab/>
            </w:r>
            <w:r w:rsidR="00974300">
              <w:rPr>
                <w:noProof/>
                <w:webHidden/>
              </w:rPr>
              <w:fldChar w:fldCharType="begin"/>
            </w:r>
            <w:r w:rsidR="00974300">
              <w:rPr>
                <w:noProof/>
                <w:webHidden/>
              </w:rPr>
              <w:instrText xml:space="preserve"> PAGEREF _Toc357508205 \h </w:instrText>
            </w:r>
            <w:r w:rsidR="00974300">
              <w:rPr>
                <w:noProof/>
                <w:webHidden/>
              </w:rPr>
            </w:r>
            <w:r w:rsidR="00974300">
              <w:rPr>
                <w:noProof/>
                <w:webHidden/>
              </w:rPr>
              <w:fldChar w:fldCharType="separate"/>
            </w:r>
            <w:r w:rsidR="00974300">
              <w:rPr>
                <w:noProof/>
                <w:webHidden/>
              </w:rPr>
              <w:t>2</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06" w:history="1">
            <w:r w:rsidR="00974300" w:rsidRPr="00815BF5">
              <w:rPr>
                <w:rStyle w:val="Hyperlink"/>
                <w:noProof/>
              </w:rPr>
              <w:t>Acknowledgement</w:t>
            </w:r>
            <w:r w:rsidR="00974300">
              <w:rPr>
                <w:noProof/>
                <w:webHidden/>
              </w:rPr>
              <w:tab/>
            </w:r>
            <w:r w:rsidR="00974300">
              <w:rPr>
                <w:noProof/>
                <w:webHidden/>
              </w:rPr>
              <w:fldChar w:fldCharType="begin"/>
            </w:r>
            <w:r w:rsidR="00974300">
              <w:rPr>
                <w:noProof/>
                <w:webHidden/>
              </w:rPr>
              <w:instrText xml:space="preserve"> PAGEREF _Toc357508206 \h </w:instrText>
            </w:r>
            <w:r w:rsidR="00974300">
              <w:rPr>
                <w:noProof/>
                <w:webHidden/>
              </w:rPr>
            </w:r>
            <w:r w:rsidR="00974300">
              <w:rPr>
                <w:noProof/>
                <w:webHidden/>
              </w:rPr>
              <w:fldChar w:fldCharType="separate"/>
            </w:r>
            <w:r w:rsidR="00974300">
              <w:rPr>
                <w:noProof/>
                <w:webHidden/>
              </w:rPr>
              <w:t>4</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07" w:history="1">
            <w:r w:rsidR="00974300" w:rsidRPr="00815BF5">
              <w:rPr>
                <w:rStyle w:val="Hyperlink"/>
                <w:noProof/>
              </w:rPr>
              <w:t>Executive Summary</w:t>
            </w:r>
            <w:r w:rsidR="00974300">
              <w:rPr>
                <w:noProof/>
                <w:webHidden/>
              </w:rPr>
              <w:tab/>
            </w:r>
            <w:r w:rsidR="00974300">
              <w:rPr>
                <w:noProof/>
                <w:webHidden/>
              </w:rPr>
              <w:fldChar w:fldCharType="begin"/>
            </w:r>
            <w:r w:rsidR="00974300">
              <w:rPr>
                <w:noProof/>
                <w:webHidden/>
              </w:rPr>
              <w:instrText xml:space="preserve"> PAGEREF _Toc357508207 \h </w:instrText>
            </w:r>
            <w:r w:rsidR="00974300">
              <w:rPr>
                <w:noProof/>
                <w:webHidden/>
              </w:rPr>
            </w:r>
            <w:r w:rsidR="00974300">
              <w:rPr>
                <w:noProof/>
                <w:webHidden/>
              </w:rPr>
              <w:fldChar w:fldCharType="separate"/>
            </w:r>
            <w:r w:rsidR="00974300">
              <w:rPr>
                <w:noProof/>
                <w:webHidden/>
              </w:rPr>
              <w:t>4</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08" w:history="1">
            <w:r w:rsidR="00974300" w:rsidRPr="00815BF5">
              <w:rPr>
                <w:rStyle w:val="Hyperlink"/>
                <w:noProof/>
              </w:rPr>
              <w:t>Aspiration</w:t>
            </w:r>
            <w:r w:rsidR="00974300">
              <w:rPr>
                <w:noProof/>
                <w:webHidden/>
              </w:rPr>
              <w:tab/>
            </w:r>
            <w:r w:rsidR="00974300">
              <w:rPr>
                <w:noProof/>
                <w:webHidden/>
              </w:rPr>
              <w:fldChar w:fldCharType="begin"/>
            </w:r>
            <w:r w:rsidR="00974300">
              <w:rPr>
                <w:noProof/>
                <w:webHidden/>
              </w:rPr>
              <w:instrText xml:space="preserve"> PAGEREF _Toc357508208 \h </w:instrText>
            </w:r>
            <w:r w:rsidR="00974300">
              <w:rPr>
                <w:noProof/>
                <w:webHidden/>
              </w:rPr>
            </w:r>
            <w:r w:rsidR="00974300">
              <w:rPr>
                <w:noProof/>
                <w:webHidden/>
              </w:rPr>
              <w:fldChar w:fldCharType="separate"/>
            </w:r>
            <w:r w:rsidR="00974300">
              <w:rPr>
                <w:noProof/>
                <w:webHidden/>
              </w:rPr>
              <w:t>5</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09" w:history="1">
            <w:r w:rsidR="00974300" w:rsidRPr="00815BF5">
              <w:rPr>
                <w:rStyle w:val="Hyperlink"/>
                <w:noProof/>
                <w:lang w:val="en-US"/>
              </w:rPr>
              <w:t>Culture</w:t>
            </w:r>
            <w:r w:rsidR="00974300">
              <w:rPr>
                <w:noProof/>
                <w:webHidden/>
              </w:rPr>
              <w:tab/>
            </w:r>
            <w:r w:rsidR="00974300">
              <w:rPr>
                <w:noProof/>
                <w:webHidden/>
              </w:rPr>
              <w:fldChar w:fldCharType="begin"/>
            </w:r>
            <w:r w:rsidR="00974300">
              <w:rPr>
                <w:noProof/>
                <w:webHidden/>
              </w:rPr>
              <w:instrText xml:space="preserve"> PAGEREF _Toc357508209 \h </w:instrText>
            </w:r>
            <w:r w:rsidR="00974300">
              <w:rPr>
                <w:noProof/>
                <w:webHidden/>
              </w:rPr>
            </w:r>
            <w:r w:rsidR="00974300">
              <w:rPr>
                <w:noProof/>
                <w:webHidden/>
              </w:rPr>
              <w:fldChar w:fldCharType="separate"/>
            </w:r>
            <w:r w:rsidR="00974300">
              <w:rPr>
                <w:noProof/>
                <w:webHidden/>
              </w:rPr>
              <w:t>6</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0" w:history="1">
            <w:r w:rsidR="00974300" w:rsidRPr="00815BF5">
              <w:rPr>
                <w:rStyle w:val="Hyperlink"/>
                <w:noProof/>
                <w:lang w:val="en-US"/>
              </w:rPr>
              <w:t>Learning environment</w:t>
            </w:r>
            <w:r w:rsidR="00974300">
              <w:rPr>
                <w:noProof/>
                <w:webHidden/>
              </w:rPr>
              <w:tab/>
            </w:r>
            <w:r w:rsidR="00974300">
              <w:rPr>
                <w:noProof/>
                <w:webHidden/>
              </w:rPr>
              <w:fldChar w:fldCharType="begin"/>
            </w:r>
            <w:r w:rsidR="00974300">
              <w:rPr>
                <w:noProof/>
                <w:webHidden/>
              </w:rPr>
              <w:instrText xml:space="preserve"> PAGEREF _Toc357508210 \h </w:instrText>
            </w:r>
            <w:r w:rsidR="00974300">
              <w:rPr>
                <w:noProof/>
                <w:webHidden/>
              </w:rPr>
            </w:r>
            <w:r w:rsidR="00974300">
              <w:rPr>
                <w:noProof/>
                <w:webHidden/>
              </w:rPr>
              <w:fldChar w:fldCharType="separate"/>
            </w:r>
            <w:r w:rsidR="00974300">
              <w:rPr>
                <w:noProof/>
                <w:webHidden/>
              </w:rPr>
              <w:t>6</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1" w:history="1">
            <w:r w:rsidR="00974300" w:rsidRPr="00815BF5">
              <w:rPr>
                <w:rStyle w:val="Hyperlink"/>
                <w:noProof/>
                <w:lang w:val="en-US"/>
              </w:rPr>
              <w:t>Teaching environment</w:t>
            </w:r>
            <w:r w:rsidR="00974300">
              <w:rPr>
                <w:noProof/>
                <w:webHidden/>
              </w:rPr>
              <w:tab/>
            </w:r>
            <w:r w:rsidR="00974300">
              <w:rPr>
                <w:noProof/>
                <w:webHidden/>
              </w:rPr>
              <w:fldChar w:fldCharType="begin"/>
            </w:r>
            <w:r w:rsidR="00974300">
              <w:rPr>
                <w:noProof/>
                <w:webHidden/>
              </w:rPr>
              <w:instrText xml:space="preserve"> PAGEREF _Toc357508211 \h </w:instrText>
            </w:r>
            <w:r w:rsidR="00974300">
              <w:rPr>
                <w:noProof/>
                <w:webHidden/>
              </w:rPr>
            </w:r>
            <w:r w:rsidR="00974300">
              <w:rPr>
                <w:noProof/>
                <w:webHidden/>
              </w:rPr>
              <w:fldChar w:fldCharType="separate"/>
            </w:r>
            <w:r w:rsidR="00974300">
              <w:rPr>
                <w:noProof/>
                <w:webHidden/>
              </w:rPr>
              <w:t>6</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2" w:history="1">
            <w:r w:rsidR="00974300" w:rsidRPr="00815BF5">
              <w:rPr>
                <w:rStyle w:val="Hyperlink"/>
                <w:noProof/>
                <w:lang w:val="en-US"/>
              </w:rPr>
              <w:t>Employment</w:t>
            </w:r>
            <w:r w:rsidR="00974300">
              <w:rPr>
                <w:noProof/>
                <w:webHidden/>
              </w:rPr>
              <w:tab/>
            </w:r>
            <w:r w:rsidR="00974300">
              <w:rPr>
                <w:noProof/>
                <w:webHidden/>
              </w:rPr>
              <w:fldChar w:fldCharType="begin"/>
            </w:r>
            <w:r w:rsidR="00974300">
              <w:rPr>
                <w:noProof/>
                <w:webHidden/>
              </w:rPr>
              <w:instrText xml:space="preserve"> PAGEREF _Toc357508212 \h </w:instrText>
            </w:r>
            <w:r w:rsidR="00974300">
              <w:rPr>
                <w:noProof/>
                <w:webHidden/>
              </w:rPr>
            </w:r>
            <w:r w:rsidR="00974300">
              <w:rPr>
                <w:noProof/>
                <w:webHidden/>
              </w:rPr>
              <w:fldChar w:fldCharType="separate"/>
            </w:r>
            <w:r w:rsidR="00974300">
              <w:rPr>
                <w:noProof/>
                <w:webHidden/>
              </w:rPr>
              <w:t>6</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3" w:history="1">
            <w:r w:rsidR="00974300" w:rsidRPr="00815BF5">
              <w:rPr>
                <w:rStyle w:val="Hyperlink"/>
                <w:noProof/>
                <w:lang w:val="en-US"/>
              </w:rPr>
              <w:t>Communication, digital and physical environments</w:t>
            </w:r>
            <w:r w:rsidR="00974300">
              <w:rPr>
                <w:noProof/>
                <w:webHidden/>
              </w:rPr>
              <w:tab/>
            </w:r>
            <w:r w:rsidR="00974300">
              <w:rPr>
                <w:noProof/>
                <w:webHidden/>
              </w:rPr>
              <w:fldChar w:fldCharType="begin"/>
            </w:r>
            <w:r w:rsidR="00974300">
              <w:rPr>
                <w:noProof/>
                <w:webHidden/>
              </w:rPr>
              <w:instrText xml:space="preserve"> PAGEREF _Toc357508213 \h </w:instrText>
            </w:r>
            <w:r w:rsidR="00974300">
              <w:rPr>
                <w:noProof/>
                <w:webHidden/>
              </w:rPr>
            </w:r>
            <w:r w:rsidR="00974300">
              <w:rPr>
                <w:noProof/>
                <w:webHidden/>
              </w:rPr>
              <w:fldChar w:fldCharType="separate"/>
            </w:r>
            <w:r w:rsidR="00974300">
              <w:rPr>
                <w:noProof/>
                <w:webHidden/>
              </w:rPr>
              <w:t>7</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4" w:history="1">
            <w:r w:rsidR="00974300">
              <w:rPr>
                <w:rStyle w:val="Hyperlink"/>
                <w:noProof/>
              </w:rPr>
              <w:t>Demographics</w:t>
            </w:r>
            <w:r w:rsidR="00974300">
              <w:rPr>
                <w:noProof/>
                <w:webHidden/>
              </w:rPr>
              <w:tab/>
            </w:r>
            <w:r w:rsidR="00974300">
              <w:rPr>
                <w:noProof/>
                <w:webHidden/>
              </w:rPr>
              <w:fldChar w:fldCharType="begin"/>
            </w:r>
            <w:r w:rsidR="00974300">
              <w:rPr>
                <w:noProof/>
                <w:webHidden/>
              </w:rPr>
              <w:instrText xml:space="preserve"> PAGEREF _Toc357508214 \h </w:instrText>
            </w:r>
            <w:r w:rsidR="00974300">
              <w:rPr>
                <w:noProof/>
                <w:webHidden/>
              </w:rPr>
            </w:r>
            <w:r w:rsidR="00974300">
              <w:rPr>
                <w:noProof/>
                <w:webHidden/>
              </w:rPr>
              <w:fldChar w:fldCharType="separate"/>
            </w:r>
            <w:r w:rsidR="00974300">
              <w:rPr>
                <w:noProof/>
                <w:webHidden/>
              </w:rPr>
              <w:t>7</w:t>
            </w:r>
            <w:r w:rsidR="00974300">
              <w:rPr>
                <w:noProof/>
                <w:webHidden/>
              </w:rPr>
              <w:fldChar w:fldCharType="end"/>
            </w:r>
          </w:hyperlink>
        </w:p>
        <w:p w:rsidR="00974300" w:rsidRDefault="001D6FD7" w:rsidP="00974300">
          <w:pPr>
            <w:pStyle w:val="TOC2"/>
            <w:tabs>
              <w:tab w:val="right" w:leader="dot" w:pos="9967"/>
            </w:tabs>
            <w:rPr>
              <w:rFonts w:asciiTheme="minorHAnsi" w:eastAsiaTheme="minorEastAsia" w:hAnsiTheme="minorHAnsi" w:cstheme="minorBidi"/>
              <w:noProof/>
              <w:sz w:val="22"/>
              <w:szCs w:val="22"/>
              <w:lang w:val="en-US" w:eastAsia="en-US"/>
            </w:rPr>
          </w:pPr>
          <w:hyperlink w:anchor="_Toc357508215" w:history="1">
            <w:r w:rsidR="00974300" w:rsidRPr="00815BF5">
              <w:rPr>
                <w:rStyle w:val="Hyperlink"/>
                <w:noProof/>
              </w:rPr>
              <w:t>Definitions</w:t>
            </w:r>
            <w:r w:rsidR="00974300">
              <w:rPr>
                <w:noProof/>
                <w:webHidden/>
              </w:rPr>
              <w:tab/>
            </w:r>
            <w:r w:rsidR="00974300">
              <w:rPr>
                <w:noProof/>
                <w:webHidden/>
              </w:rPr>
              <w:fldChar w:fldCharType="begin"/>
            </w:r>
            <w:r w:rsidR="00974300">
              <w:rPr>
                <w:noProof/>
                <w:webHidden/>
              </w:rPr>
              <w:instrText xml:space="preserve"> PAGEREF _Toc357508215 \h </w:instrText>
            </w:r>
            <w:r w:rsidR="00974300">
              <w:rPr>
                <w:noProof/>
                <w:webHidden/>
              </w:rPr>
            </w:r>
            <w:r w:rsidR="00974300">
              <w:rPr>
                <w:noProof/>
                <w:webHidden/>
              </w:rPr>
              <w:fldChar w:fldCharType="separate"/>
            </w:r>
            <w:r w:rsidR="00974300">
              <w:rPr>
                <w:noProof/>
                <w:webHidden/>
              </w:rPr>
              <w:t>9</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7" w:history="1">
            <w:r w:rsidR="00974300" w:rsidRPr="00815BF5">
              <w:rPr>
                <w:rStyle w:val="Hyperlink"/>
                <w:noProof/>
              </w:rPr>
              <w:t>Legislative and strategic Framework</w:t>
            </w:r>
            <w:r w:rsidR="00974300">
              <w:rPr>
                <w:noProof/>
                <w:webHidden/>
              </w:rPr>
              <w:tab/>
            </w:r>
            <w:r w:rsidR="00974300">
              <w:rPr>
                <w:noProof/>
                <w:webHidden/>
              </w:rPr>
              <w:fldChar w:fldCharType="begin"/>
            </w:r>
            <w:r w:rsidR="00974300">
              <w:rPr>
                <w:noProof/>
                <w:webHidden/>
              </w:rPr>
              <w:instrText xml:space="preserve"> PAGEREF _Toc357508217 \h </w:instrText>
            </w:r>
            <w:r w:rsidR="00974300">
              <w:rPr>
                <w:noProof/>
                <w:webHidden/>
              </w:rPr>
            </w:r>
            <w:r w:rsidR="00974300">
              <w:rPr>
                <w:noProof/>
                <w:webHidden/>
              </w:rPr>
              <w:fldChar w:fldCharType="separate"/>
            </w:r>
            <w:r w:rsidR="00974300">
              <w:rPr>
                <w:noProof/>
                <w:webHidden/>
              </w:rPr>
              <w:t>10</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8" w:history="1">
            <w:r w:rsidR="00974300" w:rsidRPr="00815BF5">
              <w:rPr>
                <w:rStyle w:val="Hyperlink"/>
                <w:noProof/>
              </w:rPr>
              <w:t>Background/about the university</w:t>
            </w:r>
            <w:r w:rsidR="00974300">
              <w:rPr>
                <w:noProof/>
                <w:webHidden/>
              </w:rPr>
              <w:tab/>
            </w:r>
            <w:r w:rsidR="00974300">
              <w:rPr>
                <w:noProof/>
                <w:webHidden/>
              </w:rPr>
              <w:fldChar w:fldCharType="begin"/>
            </w:r>
            <w:r w:rsidR="00974300">
              <w:rPr>
                <w:noProof/>
                <w:webHidden/>
              </w:rPr>
              <w:instrText xml:space="preserve"> PAGEREF _Toc357508218 \h </w:instrText>
            </w:r>
            <w:r w:rsidR="00974300">
              <w:rPr>
                <w:noProof/>
                <w:webHidden/>
              </w:rPr>
            </w:r>
            <w:r w:rsidR="00974300">
              <w:rPr>
                <w:noProof/>
                <w:webHidden/>
              </w:rPr>
              <w:fldChar w:fldCharType="separate"/>
            </w:r>
            <w:r w:rsidR="00974300">
              <w:rPr>
                <w:noProof/>
                <w:webHidden/>
              </w:rPr>
              <w:t>13</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19" w:history="1">
            <w:r w:rsidR="00974300" w:rsidRPr="00815BF5">
              <w:rPr>
                <w:rStyle w:val="Hyperlink"/>
                <w:noProof/>
              </w:rPr>
              <w:t>Progress and achievements since 2006</w:t>
            </w:r>
            <w:r w:rsidR="00974300">
              <w:rPr>
                <w:noProof/>
                <w:webHidden/>
              </w:rPr>
              <w:tab/>
            </w:r>
            <w:r w:rsidR="00974300">
              <w:rPr>
                <w:noProof/>
                <w:webHidden/>
              </w:rPr>
              <w:fldChar w:fldCharType="begin"/>
            </w:r>
            <w:r w:rsidR="00974300">
              <w:rPr>
                <w:noProof/>
                <w:webHidden/>
              </w:rPr>
              <w:instrText xml:space="preserve"> PAGEREF _Toc357508219 \h </w:instrText>
            </w:r>
            <w:r w:rsidR="00974300">
              <w:rPr>
                <w:noProof/>
                <w:webHidden/>
              </w:rPr>
            </w:r>
            <w:r w:rsidR="00974300">
              <w:rPr>
                <w:noProof/>
                <w:webHidden/>
              </w:rPr>
              <w:fldChar w:fldCharType="separate"/>
            </w:r>
            <w:r w:rsidR="00974300">
              <w:rPr>
                <w:noProof/>
                <w:webHidden/>
              </w:rPr>
              <w:t>13</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20" w:history="1">
            <w:r w:rsidR="00974300" w:rsidRPr="00815BF5">
              <w:rPr>
                <w:rStyle w:val="Hyperlink"/>
                <w:noProof/>
              </w:rPr>
              <w:t>Development of the Disability Action Plan and consulTation phase</w:t>
            </w:r>
            <w:r w:rsidR="00974300">
              <w:rPr>
                <w:noProof/>
                <w:webHidden/>
              </w:rPr>
              <w:tab/>
            </w:r>
            <w:r w:rsidR="00974300">
              <w:rPr>
                <w:noProof/>
                <w:webHidden/>
              </w:rPr>
              <w:fldChar w:fldCharType="begin"/>
            </w:r>
            <w:r w:rsidR="00974300">
              <w:rPr>
                <w:noProof/>
                <w:webHidden/>
              </w:rPr>
              <w:instrText xml:space="preserve"> PAGEREF _Toc357508220 \h </w:instrText>
            </w:r>
            <w:r w:rsidR="00974300">
              <w:rPr>
                <w:noProof/>
                <w:webHidden/>
              </w:rPr>
            </w:r>
            <w:r w:rsidR="00974300">
              <w:rPr>
                <w:noProof/>
                <w:webHidden/>
              </w:rPr>
              <w:fldChar w:fldCharType="separate"/>
            </w:r>
            <w:r w:rsidR="00974300">
              <w:rPr>
                <w:noProof/>
                <w:webHidden/>
              </w:rPr>
              <w:t>15</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21" w:history="1">
            <w:r w:rsidR="00974300" w:rsidRPr="00815BF5">
              <w:rPr>
                <w:rStyle w:val="Hyperlink"/>
                <w:noProof/>
              </w:rPr>
              <w:t>Review and Evaluation</w:t>
            </w:r>
            <w:r w:rsidR="00974300">
              <w:rPr>
                <w:noProof/>
                <w:webHidden/>
              </w:rPr>
              <w:tab/>
            </w:r>
            <w:r w:rsidR="00974300">
              <w:rPr>
                <w:noProof/>
                <w:webHidden/>
              </w:rPr>
              <w:fldChar w:fldCharType="begin"/>
            </w:r>
            <w:r w:rsidR="00974300">
              <w:rPr>
                <w:noProof/>
                <w:webHidden/>
              </w:rPr>
              <w:instrText xml:space="preserve"> PAGEREF _Toc357508221 \h </w:instrText>
            </w:r>
            <w:r w:rsidR="00974300">
              <w:rPr>
                <w:noProof/>
                <w:webHidden/>
              </w:rPr>
            </w:r>
            <w:r w:rsidR="00974300">
              <w:rPr>
                <w:noProof/>
                <w:webHidden/>
              </w:rPr>
              <w:fldChar w:fldCharType="separate"/>
            </w:r>
            <w:r w:rsidR="00974300">
              <w:rPr>
                <w:noProof/>
                <w:webHidden/>
              </w:rPr>
              <w:t>15</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22" w:history="1">
            <w:r w:rsidR="00974300">
              <w:rPr>
                <w:rStyle w:val="Hyperlink"/>
                <w:noProof/>
              </w:rPr>
              <w:t>Continual consultation with students, staff and visitors</w:t>
            </w:r>
            <w:r w:rsidR="00974300">
              <w:rPr>
                <w:noProof/>
                <w:webHidden/>
              </w:rPr>
              <w:tab/>
            </w:r>
            <w:r w:rsidR="00974300">
              <w:rPr>
                <w:noProof/>
                <w:webHidden/>
              </w:rPr>
              <w:fldChar w:fldCharType="begin"/>
            </w:r>
            <w:r w:rsidR="00974300">
              <w:rPr>
                <w:noProof/>
                <w:webHidden/>
              </w:rPr>
              <w:instrText xml:space="preserve"> PAGEREF _Toc357508222 \h </w:instrText>
            </w:r>
            <w:r w:rsidR="00974300">
              <w:rPr>
                <w:noProof/>
                <w:webHidden/>
              </w:rPr>
            </w:r>
            <w:r w:rsidR="00974300">
              <w:rPr>
                <w:noProof/>
                <w:webHidden/>
              </w:rPr>
              <w:fldChar w:fldCharType="separate"/>
            </w:r>
            <w:r w:rsidR="00974300">
              <w:rPr>
                <w:noProof/>
                <w:webHidden/>
              </w:rPr>
              <w:t>16</w:t>
            </w:r>
            <w:r w:rsidR="00974300">
              <w:rPr>
                <w:noProof/>
                <w:webHidden/>
              </w:rPr>
              <w:fldChar w:fldCharType="end"/>
            </w:r>
          </w:hyperlink>
        </w:p>
        <w:p w:rsidR="00974300" w:rsidRDefault="001D6FD7">
          <w:pPr>
            <w:pStyle w:val="TOC1"/>
            <w:tabs>
              <w:tab w:val="right" w:leader="dot" w:pos="9967"/>
            </w:tabs>
            <w:rPr>
              <w:rFonts w:asciiTheme="minorHAnsi" w:eastAsiaTheme="minorEastAsia" w:hAnsiTheme="minorHAnsi" w:cstheme="minorBidi"/>
              <w:noProof/>
              <w:sz w:val="22"/>
              <w:szCs w:val="22"/>
              <w:lang w:val="en-US" w:eastAsia="en-US"/>
            </w:rPr>
          </w:pPr>
          <w:hyperlink w:anchor="_Toc357508223" w:history="1">
            <w:r w:rsidR="00974300" w:rsidRPr="00815BF5">
              <w:rPr>
                <w:rStyle w:val="Hyperlink"/>
                <w:rFonts w:eastAsia="Arial Narrow"/>
                <w:noProof/>
              </w:rPr>
              <w:t>Disability Action Plan 2013–18</w:t>
            </w:r>
            <w:r w:rsidR="00974300">
              <w:rPr>
                <w:noProof/>
                <w:webHidden/>
              </w:rPr>
              <w:tab/>
            </w:r>
            <w:r w:rsidR="00974300">
              <w:rPr>
                <w:noProof/>
                <w:webHidden/>
              </w:rPr>
              <w:fldChar w:fldCharType="begin"/>
            </w:r>
            <w:r w:rsidR="00974300">
              <w:rPr>
                <w:noProof/>
                <w:webHidden/>
              </w:rPr>
              <w:instrText xml:space="preserve"> PAGEREF _Toc357508223 \h </w:instrText>
            </w:r>
            <w:r w:rsidR="00974300">
              <w:rPr>
                <w:noProof/>
                <w:webHidden/>
              </w:rPr>
            </w:r>
            <w:r w:rsidR="00974300">
              <w:rPr>
                <w:noProof/>
                <w:webHidden/>
              </w:rPr>
              <w:fldChar w:fldCharType="separate"/>
            </w:r>
            <w:r w:rsidR="00974300">
              <w:rPr>
                <w:noProof/>
                <w:webHidden/>
              </w:rPr>
              <w:t>17</w:t>
            </w:r>
            <w:r w:rsidR="00974300">
              <w:rPr>
                <w:noProof/>
                <w:webHidden/>
              </w:rPr>
              <w:fldChar w:fldCharType="end"/>
            </w:r>
          </w:hyperlink>
        </w:p>
        <w:p w:rsidR="00974300" w:rsidRDefault="001D6FD7">
          <w:pPr>
            <w:pStyle w:val="TOC3"/>
            <w:tabs>
              <w:tab w:val="right" w:leader="dot" w:pos="9967"/>
            </w:tabs>
            <w:rPr>
              <w:rFonts w:asciiTheme="minorHAnsi" w:eastAsiaTheme="minorEastAsia" w:hAnsiTheme="minorHAnsi" w:cstheme="minorBidi"/>
              <w:noProof/>
              <w:sz w:val="22"/>
              <w:szCs w:val="22"/>
              <w:lang w:val="en-US" w:eastAsia="en-US"/>
            </w:rPr>
          </w:pPr>
          <w:hyperlink w:anchor="_Toc357508224" w:history="1">
            <w:r w:rsidR="00974300" w:rsidRPr="00815BF5">
              <w:rPr>
                <w:rStyle w:val="Hyperlink"/>
                <w:noProof/>
              </w:rPr>
              <w:t>Objective 1: The University incorporates the rights and opportunities of people with disabilities in all policies and planning.</w:t>
            </w:r>
            <w:r w:rsidR="00974300">
              <w:rPr>
                <w:noProof/>
                <w:webHidden/>
              </w:rPr>
              <w:tab/>
            </w:r>
            <w:r w:rsidR="00974300">
              <w:rPr>
                <w:noProof/>
                <w:webHidden/>
              </w:rPr>
              <w:fldChar w:fldCharType="begin"/>
            </w:r>
            <w:r w:rsidR="00974300">
              <w:rPr>
                <w:noProof/>
                <w:webHidden/>
              </w:rPr>
              <w:instrText xml:space="preserve"> PAGEREF _Toc357508224 \h </w:instrText>
            </w:r>
            <w:r w:rsidR="00974300">
              <w:rPr>
                <w:noProof/>
                <w:webHidden/>
              </w:rPr>
            </w:r>
            <w:r w:rsidR="00974300">
              <w:rPr>
                <w:noProof/>
                <w:webHidden/>
              </w:rPr>
              <w:fldChar w:fldCharType="separate"/>
            </w:r>
            <w:r w:rsidR="00974300">
              <w:rPr>
                <w:noProof/>
                <w:webHidden/>
              </w:rPr>
              <w:t>17</w:t>
            </w:r>
            <w:r w:rsidR="00974300">
              <w:rPr>
                <w:noProof/>
                <w:webHidden/>
              </w:rPr>
              <w:fldChar w:fldCharType="end"/>
            </w:r>
          </w:hyperlink>
        </w:p>
        <w:p w:rsidR="00974300" w:rsidRDefault="001D6FD7">
          <w:pPr>
            <w:pStyle w:val="TOC3"/>
            <w:tabs>
              <w:tab w:val="right" w:leader="dot" w:pos="9967"/>
            </w:tabs>
            <w:rPr>
              <w:rFonts w:asciiTheme="minorHAnsi" w:eastAsiaTheme="minorEastAsia" w:hAnsiTheme="minorHAnsi" w:cstheme="minorBidi"/>
              <w:noProof/>
              <w:sz w:val="22"/>
              <w:szCs w:val="22"/>
              <w:lang w:val="en-US" w:eastAsia="en-US"/>
            </w:rPr>
          </w:pPr>
          <w:hyperlink w:anchor="_Toc357508225" w:history="1">
            <w:r w:rsidR="00974300" w:rsidRPr="00815BF5">
              <w:rPr>
                <w:rStyle w:val="Hyperlink"/>
                <w:noProof/>
              </w:rPr>
              <w:t>Objective 2: The University of Sydney is a tertiary education provider of choice for all students.</w:t>
            </w:r>
            <w:r w:rsidR="00974300">
              <w:rPr>
                <w:noProof/>
                <w:webHidden/>
              </w:rPr>
              <w:tab/>
            </w:r>
            <w:r w:rsidR="00974300">
              <w:rPr>
                <w:noProof/>
                <w:webHidden/>
              </w:rPr>
              <w:fldChar w:fldCharType="begin"/>
            </w:r>
            <w:r w:rsidR="00974300">
              <w:rPr>
                <w:noProof/>
                <w:webHidden/>
              </w:rPr>
              <w:instrText xml:space="preserve"> PAGEREF _Toc357508225 \h </w:instrText>
            </w:r>
            <w:r w:rsidR="00974300">
              <w:rPr>
                <w:noProof/>
                <w:webHidden/>
              </w:rPr>
            </w:r>
            <w:r w:rsidR="00974300">
              <w:rPr>
                <w:noProof/>
                <w:webHidden/>
              </w:rPr>
              <w:fldChar w:fldCharType="separate"/>
            </w:r>
            <w:r w:rsidR="00974300">
              <w:rPr>
                <w:noProof/>
                <w:webHidden/>
              </w:rPr>
              <w:t>19</w:t>
            </w:r>
            <w:r w:rsidR="00974300">
              <w:rPr>
                <w:noProof/>
                <w:webHidden/>
              </w:rPr>
              <w:fldChar w:fldCharType="end"/>
            </w:r>
          </w:hyperlink>
        </w:p>
        <w:p w:rsidR="00974300" w:rsidRDefault="001D6FD7">
          <w:pPr>
            <w:pStyle w:val="TOC3"/>
            <w:tabs>
              <w:tab w:val="right" w:leader="dot" w:pos="9967"/>
            </w:tabs>
            <w:rPr>
              <w:rFonts w:asciiTheme="minorHAnsi" w:eastAsiaTheme="minorEastAsia" w:hAnsiTheme="minorHAnsi" w:cstheme="minorBidi"/>
              <w:noProof/>
              <w:sz w:val="22"/>
              <w:szCs w:val="22"/>
              <w:lang w:val="en-US" w:eastAsia="en-US"/>
            </w:rPr>
          </w:pPr>
          <w:hyperlink w:anchor="_Toc357508226" w:history="1">
            <w:r w:rsidR="00974300" w:rsidRPr="00815BF5">
              <w:rPr>
                <w:rStyle w:val="Hyperlink"/>
                <w:noProof/>
              </w:rPr>
              <w:t>Objective 3: The University is an employer of choice for people with disabilities.</w:t>
            </w:r>
            <w:r w:rsidR="00974300">
              <w:rPr>
                <w:noProof/>
                <w:webHidden/>
              </w:rPr>
              <w:tab/>
            </w:r>
            <w:r w:rsidR="00974300">
              <w:rPr>
                <w:noProof/>
                <w:webHidden/>
              </w:rPr>
              <w:fldChar w:fldCharType="begin"/>
            </w:r>
            <w:r w:rsidR="00974300">
              <w:rPr>
                <w:noProof/>
                <w:webHidden/>
              </w:rPr>
              <w:instrText xml:space="preserve"> PAGEREF _Toc357508226 \h </w:instrText>
            </w:r>
            <w:r w:rsidR="00974300">
              <w:rPr>
                <w:noProof/>
                <w:webHidden/>
              </w:rPr>
            </w:r>
            <w:r w:rsidR="00974300">
              <w:rPr>
                <w:noProof/>
                <w:webHidden/>
              </w:rPr>
              <w:fldChar w:fldCharType="separate"/>
            </w:r>
            <w:r w:rsidR="00974300">
              <w:rPr>
                <w:noProof/>
                <w:webHidden/>
              </w:rPr>
              <w:t>21</w:t>
            </w:r>
            <w:r w:rsidR="00974300">
              <w:rPr>
                <w:noProof/>
                <w:webHidden/>
              </w:rPr>
              <w:fldChar w:fldCharType="end"/>
            </w:r>
          </w:hyperlink>
        </w:p>
        <w:p w:rsidR="00974300" w:rsidRDefault="001D6FD7">
          <w:pPr>
            <w:pStyle w:val="TOC3"/>
            <w:tabs>
              <w:tab w:val="right" w:leader="dot" w:pos="9967"/>
            </w:tabs>
            <w:rPr>
              <w:rFonts w:asciiTheme="minorHAnsi" w:eastAsiaTheme="minorEastAsia" w:hAnsiTheme="minorHAnsi" w:cstheme="minorBidi"/>
              <w:noProof/>
              <w:sz w:val="22"/>
              <w:szCs w:val="22"/>
              <w:lang w:val="en-US" w:eastAsia="en-US"/>
            </w:rPr>
          </w:pPr>
          <w:hyperlink w:anchor="_Toc357508227" w:history="1">
            <w:r w:rsidR="00974300" w:rsidRPr="00815BF5">
              <w:rPr>
                <w:rStyle w:val="Hyperlink"/>
                <w:noProof/>
              </w:rPr>
              <w:t>Objective 4: The University’s communication and digital environment is accessible to people with disabilities</w:t>
            </w:r>
            <w:r w:rsidR="00974300">
              <w:rPr>
                <w:noProof/>
                <w:webHidden/>
              </w:rPr>
              <w:tab/>
            </w:r>
            <w:r w:rsidR="00974300">
              <w:rPr>
                <w:noProof/>
                <w:webHidden/>
              </w:rPr>
              <w:fldChar w:fldCharType="begin"/>
            </w:r>
            <w:r w:rsidR="00974300">
              <w:rPr>
                <w:noProof/>
                <w:webHidden/>
              </w:rPr>
              <w:instrText xml:space="preserve"> PAGEREF _Toc357508227 \h </w:instrText>
            </w:r>
            <w:r w:rsidR="00974300">
              <w:rPr>
                <w:noProof/>
                <w:webHidden/>
              </w:rPr>
            </w:r>
            <w:r w:rsidR="00974300">
              <w:rPr>
                <w:noProof/>
                <w:webHidden/>
              </w:rPr>
              <w:fldChar w:fldCharType="separate"/>
            </w:r>
            <w:r w:rsidR="00974300">
              <w:rPr>
                <w:noProof/>
                <w:webHidden/>
              </w:rPr>
              <w:t>22</w:t>
            </w:r>
            <w:r w:rsidR="00974300">
              <w:rPr>
                <w:noProof/>
                <w:webHidden/>
              </w:rPr>
              <w:fldChar w:fldCharType="end"/>
            </w:r>
          </w:hyperlink>
        </w:p>
        <w:p w:rsidR="00974300" w:rsidRDefault="001D6FD7">
          <w:pPr>
            <w:pStyle w:val="TOC3"/>
            <w:tabs>
              <w:tab w:val="right" w:leader="dot" w:pos="9967"/>
            </w:tabs>
            <w:rPr>
              <w:rFonts w:asciiTheme="minorHAnsi" w:eastAsiaTheme="minorEastAsia" w:hAnsiTheme="minorHAnsi" w:cstheme="minorBidi"/>
              <w:noProof/>
              <w:sz w:val="22"/>
              <w:szCs w:val="22"/>
              <w:lang w:val="en-US" w:eastAsia="en-US"/>
            </w:rPr>
          </w:pPr>
          <w:hyperlink w:anchor="_Toc357508228" w:history="1">
            <w:r w:rsidR="00974300" w:rsidRPr="00815BF5">
              <w:rPr>
                <w:rStyle w:val="Hyperlink"/>
                <w:noProof/>
              </w:rPr>
              <w:t>Objective 5: The University provides an accessible built environment to everyone.</w:t>
            </w:r>
            <w:r w:rsidR="00974300">
              <w:rPr>
                <w:noProof/>
                <w:webHidden/>
              </w:rPr>
              <w:tab/>
            </w:r>
            <w:r w:rsidR="00974300">
              <w:rPr>
                <w:noProof/>
                <w:webHidden/>
              </w:rPr>
              <w:fldChar w:fldCharType="begin"/>
            </w:r>
            <w:r w:rsidR="00974300">
              <w:rPr>
                <w:noProof/>
                <w:webHidden/>
              </w:rPr>
              <w:instrText xml:space="preserve"> PAGEREF _Toc357508228 \h </w:instrText>
            </w:r>
            <w:r w:rsidR="00974300">
              <w:rPr>
                <w:noProof/>
                <w:webHidden/>
              </w:rPr>
            </w:r>
            <w:r w:rsidR="00974300">
              <w:rPr>
                <w:noProof/>
                <w:webHidden/>
              </w:rPr>
              <w:fldChar w:fldCharType="separate"/>
            </w:r>
            <w:r w:rsidR="00974300">
              <w:rPr>
                <w:noProof/>
                <w:webHidden/>
              </w:rPr>
              <w:t>23</w:t>
            </w:r>
            <w:r w:rsidR="00974300">
              <w:rPr>
                <w:noProof/>
                <w:webHidden/>
              </w:rPr>
              <w:fldChar w:fldCharType="end"/>
            </w:r>
          </w:hyperlink>
        </w:p>
        <w:p w:rsidR="00974300" w:rsidRDefault="001D6FD7">
          <w:pPr>
            <w:pStyle w:val="TOC3"/>
            <w:tabs>
              <w:tab w:val="right" w:leader="dot" w:pos="9967"/>
            </w:tabs>
            <w:rPr>
              <w:rFonts w:asciiTheme="minorHAnsi" w:eastAsiaTheme="minorEastAsia" w:hAnsiTheme="minorHAnsi" w:cstheme="minorBidi"/>
              <w:noProof/>
              <w:sz w:val="22"/>
              <w:szCs w:val="22"/>
              <w:lang w:val="en-US" w:eastAsia="en-US"/>
            </w:rPr>
          </w:pPr>
          <w:hyperlink w:anchor="_Toc357508229" w:history="1">
            <w:r w:rsidR="00974300" w:rsidRPr="00815BF5">
              <w:rPr>
                <w:rStyle w:val="Hyperlink"/>
                <w:noProof/>
              </w:rPr>
              <w:t>Objective 6: The University provides leadership to the community in developing an inclusive Australian society.</w:t>
            </w:r>
            <w:r w:rsidR="00974300">
              <w:rPr>
                <w:noProof/>
                <w:webHidden/>
              </w:rPr>
              <w:tab/>
            </w:r>
            <w:r w:rsidR="00974300">
              <w:rPr>
                <w:noProof/>
                <w:webHidden/>
              </w:rPr>
              <w:fldChar w:fldCharType="begin"/>
            </w:r>
            <w:r w:rsidR="00974300">
              <w:rPr>
                <w:noProof/>
                <w:webHidden/>
              </w:rPr>
              <w:instrText xml:space="preserve"> PAGEREF _Toc357508229 \h </w:instrText>
            </w:r>
            <w:r w:rsidR="00974300">
              <w:rPr>
                <w:noProof/>
                <w:webHidden/>
              </w:rPr>
            </w:r>
            <w:r w:rsidR="00974300">
              <w:rPr>
                <w:noProof/>
                <w:webHidden/>
              </w:rPr>
              <w:fldChar w:fldCharType="separate"/>
            </w:r>
            <w:r w:rsidR="00974300">
              <w:rPr>
                <w:noProof/>
                <w:webHidden/>
              </w:rPr>
              <w:t>24</w:t>
            </w:r>
            <w:r w:rsidR="00974300">
              <w:rPr>
                <w:noProof/>
                <w:webHidden/>
              </w:rPr>
              <w:fldChar w:fldCharType="end"/>
            </w:r>
          </w:hyperlink>
        </w:p>
        <w:p w:rsidR="00974300" w:rsidRDefault="001D6FD7">
          <w:pPr>
            <w:pStyle w:val="TOC1"/>
            <w:tabs>
              <w:tab w:val="right" w:leader="dot" w:pos="9967"/>
            </w:tabs>
            <w:rPr>
              <w:rFonts w:asciiTheme="minorHAnsi" w:eastAsiaTheme="minorEastAsia" w:hAnsiTheme="minorHAnsi" w:cstheme="minorBidi"/>
              <w:noProof/>
              <w:sz w:val="22"/>
              <w:szCs w:val="22"/>
              <w:lang w:val="en-US" w:eastAsia="en-US"/>
            </w:rPr>
          </w:pPr>
          <w:hyperlink w:anchor="_Toc357508230" w:history="1">
            <w:r w:rsidR="00974300" w:rsidRPr="00815BF5">
              <w:rPr>
                <w:rStyle w:val="Hyperlink"/>
                <w:noProof/>
              </w:rPr>
              <w:t>Summary of Total Costs</w:t>
            </w:r>
            <w:r w:rsidR="00974300">
              <w:rPr>
                <w:noProof/>
                <w:webHidden/>
              </w:rPr>
              <w:tab/>
            </w:r>
            <w:r w:rsidR="00974300">
              <w:rPr>
                <w:noProof/>
                <w:webHidden/>
              </w:rPr>
              <w:fldChar w:fldCharType="begin"/>
            </w:r>
            <w:r w:rsidR="00974300">
              <w:rPr>
                <w:noProof/>
                <w:webHidden/>
              </w:rPr>
              <w:instrText xml:space="preserve"> PAGEREF _Toc357508230 \h </w:instrText>
            </w:r>
            <w:r w:rsidR="00974300">
              <w:rPr>
                <w:noProof/>
                <w:webHidden/>
              </w:rPr>
            </w:r>
            <w:r w:rsidR="00974300">
              <w:rPr>
                <w:noProof/>
                <w:webHidden/>
              </w:rPr>
              <w:fldChar w:fldCharType="separate"/>
            </w:r>
            <w:r w:rsidR="00974300">
              <w:rPr>
                <w:noProof/>
                <w:webHidden/>
              </w:rPr>
              <w:t>25</w:t>
            </w:r>
            <w:r w:rsidR="00974300">
              <w:rPr>
                <w:noProof/>
                <w:webHidden/>
              </w:rPr>
              <w:fldChar w:fldCharType="end"/>
            </w:r>
          </w:hyperlink>
        </w:p>
        <w:p w:rsidR="00974300" w:rsidRDefault="001D6FD7">
          <w:pPr>
            <w:pStyle w:val="TOC1"/>
            <w:tabs>
              <w:tab w:val="right" w:leader="dot" w:pos="9967"/>
            </w:tabs>
            <w:rPr>
              <w:rFonts w:asciiTheme="minorHAnsi" w:eastAsiaTheme="minorEastAsia" w:hAnsiTheme="minorHAnsi" w:cstheme="minorBidi"/>
              <w:noProof/>
              <w:sz w:val="22"/>
              <w:szCs w:val="22"/>
              <w:lang w:val="en-US" w:eastAsia="en-US"/>
            </w:rPr>
          </w:pPr>
          <w:hyperlink w:anchor="_Toc357508231" w:history="1">
            <w:r w:rsidR="00974300" w:rsidRPr="00815BF5">
              <w:rPr>
                <w:rStyle w:val="Hyperlink"/>
                <w:noProof/>
              </w:rPr>
              <w:t>Appendix</w:t>
            </w:r>
            <w:r w:rsidR="00974300">
              <w:rPr>
                <w:noProof/>
                <w:webHidden/>
              </w:rPr>
              <w:tab/>
            </w:r>
            <w:r w:rsidR="00974300">
              <w:rPr>
                <w:noProof/>
                <w:webHidden/>
              </w:rPr>
              <w:fldChar w:fldCharType="begin"/>
            </w:r>
            <w:r w:rsidR="00974300">
              <w:rPr>
                <w:noProof/>
                <w:webHidden/>
              </w:rPr>
              <w:instrText xml:space="preserve"> PAGEREF _Toc357508231 \h </w:instrText>
            </w:r>
            <w:r w:rsidR="00974300">
              <w:rPr>
                <w:noProof/>
                <w:webHidden/>
              </w:rPr>
            </w:r>
            <w:r w:rsidR="00974300">
              <w:rPr>
                <w:noProof/>
                <w:webHidden/>
              </w:rPr>
              <w:fldChar w:fldCharType="separate"/>
            </w:r>
            <w:r w:rsidR="00974300">
              <w:rPr>
                <w:noProof/>
                <w:webHidden/>
              </w:rPr>
              <w:t>25</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32" w:history="1">
            <w:r w:rsidR="00974300" w:rsidRPr="00815BF5">
              <w:rPr>
                <w:rStyle w:val="Hyperlink"/>
                <w:noProof/>
              </w:rPr>
              <w:t xml:space="preserve">1. </w:t>
            </w:r>
            <w:r w:rsidR="00974300" w:rsidRPr="00815BF5">
              <w:rPr>
                <w:rStyle w:val="Hyperlink"/>
                <w:noProof/>
                <w:shd w:val="clear" w:color="auto" w:fill="FFFFFF"/>
              </w:rPr>
              <w:t>Key Terms</w:t>
            </w:r>
            <w:r w:rsidR="00974300">
              <w:rPr>
                <w:noProof/>
                <w:webHidden/>
              </w:rPr>
              <w:tab/>
            </w:r>
            <w:r w:rsidR="00974300">
              <w:rPr>
                <w:noProof/>
                <w:webHidden/>
              </w:rPr>
              <w:fldChar w:fldCharType="begin"/>
            </w:r>
            <w:r w:rsidR="00974300">
              <w:rPr>
                <w:noProof/>
                <w:webHidden/>
              </w:rPr>
              <w:instrText xml:space="preserve"> PAGEREF _Toc357508232 \h </w:instrText>
            </w:r>
            <w:r w:rsidR="00974300">
              <w:rPr>
                <w:noProof/>
                <w:webHidden/>
              </w:rPr>
            </w:r>
            <w:r w:rsidR="00974300">
              <w:rPr>
                <w:noProof/>
                <w:webHidden/>
              </w:rPr>
              <w:fldChar w:fldCharType="separate"/>
            </w:r>
            <w:r w:rsidR="00974300">
              <w:rPr>
                <w:noProof/>
                <w:webHidden/>
              </w:rPr>
              <w:t>25</w:t>
            </w:r>
            <w:r w:rsidR="00974300">
              <w:rPr>
                <w:noProof/>
                <w:webHidden/>
              </w:rPr>
              <w:fldChar w:fldCharType="end"/>
            </w:r>
          </w:hyperlink>
        </w:p>
        <w:p w:rsidR="00974300" w:rsidRDefault="001D6FD7">
          <w:pPr>
            <w:pStyle w:val="TOC2"/>
            <w:tabs>
              <w:tab w:val="right" w:leader="dot" w:pos="9967"/>
            </w:tabs>
            <w:rPr>
              <w:rFonts w:asciiTheme="minorHAnsi" w:eastAsiaTheme="minorEastAsia" w:hAnsiTheme="minorHAnsi" w:cstheme="minorBidi"/>
              <w:noProof/>
              <w:sz w:val="22"/>
              <w:szCs w:val="22"/>
              <w:lang w:val="en-US" w:eastAsia="en-US"/>
            </w:rPr>
          </w:pPr>
          <w:hyperlink w:anchor="_Toc357508240" w:history="1">
            <w:r w:rsidR="00974300" w:rsidRPr="00815BF5">
              <w:rPr>
                <w:rStyle w:val="Hyperlink"/>
                <w:noProof/>
              </w:rPr>
              <w:t>2. Legislation:</w:t>
            </w:r>
            <w:r w:rsidR="00974300">
              <w:rPr>
                <w:noProof/>
                <w:webHidden/>
              </w:rPr>
              <w:tab/>
            </w:r>
            <w:r w:rsidR="00974300">
              <w:rPr>
                <w:noProof/>
                <w:webHidden/>
              </w:rPr>
              <w:fldChar w:fldCharType="begin"/>
            </w:r>
            <w:r w:rsidR="00974300">
              <w:rPr>
                <w:noProof/>
                <w:webHidden/>
              </w:rPr>
              <w:instrText xml:space="preserve"> PAGEREF _Toc357508240 \h </w:instrText>
            </w:r>
            <w:r w:rsidR="00974300">
              <w:rPr>
                <w:noProof/>
                <w:webHidden/>
              </w:rPr>
            </w:r>
            <w:r w:rsidR="00974300">
              <w:rPr>
                <w:noProof/>
                <w:webHidden/>
              </w:rPr>
              <w:fldChar w:fldCharType="separate"/>
            </w:r>
            <w:r w:rsidR="00974300">
              <w:rPr>
                <w:noProof/>
                <w:webHidden/>
              </w:rPr>
              <w:t>26</w:t>
            </w:r>
            <w:r w:rsidR="00974300">
              <w:rPr>
                <w:noProof/>
                <w:webHidden/>
              </w:rPr>
              <w:fldChar w:fldCharType="end"/>
            </w:r>
          </w:hyperlink>
        </w:p>
        <w:p w:rsidR="00425DAB" w:rsidRDefault="00425DAB">
          <w:r>
            <w:rPr>
              <w:b/>
              <w:bCs/>
              <w:noProof/>
            </w:rPr>
            <w:fldChar w:fldCharType="end"/>
          </w:r>
        </w:p>
      </w:sdtContent>
    </w:sdt>
    <w:p w:rsidR="00165722" w:rsidRPr="00987C7F" w:rsidRDefault="00E7587E" w:rsidP="00CC3727">
      <w:pPr>
        <w:pStyle w:val="Heading2"/>
      </w:pPr>
      <w:r>
        <w:br w:type="page"/>
      </w:r>
      <w:bookmarkStart w:id="3" w:name="_Toc357508206"/>
      <w:r w:rsidR="00165722" w:rsidRPr="00987C7F">
        <w:lastRenderedPageBreak/>
        <w:t>Acknowledgement</w:t>
      </w:r>
      <w:bookmarkEnd w:id="3"/>
      <w:r w:rsidR="00165722" w:rsidRPr="00987C7F">
        <w:t xml:space="preserve"> </w:t>
      </w:r>
    </w:p>
    <w:p w:rsidR="00165722" w:rsidRPr="00987C7F" w:rsidRDefault="00165722" w:rsidP="00165722">
      <w:pPr>
        <w:rPr>
          <w:rFonts w:cs="Arial"/>
          <w:szCs w:val="20"/>
        </w:rPr>
      </w:pPr>
      <w:r w:rsidRPr="00987C7F">
        <w:rPr>
          <w:rFonts w:cs="Arial"/>
          <w:szCs w:val="20"/>
        </w:rPr>
        <w:t>The University formally thanks all those who committed their time to provide feedback during the review process of the University’s Disability Action Plan 2006–10 and the development of the Disability Action Plan 2013–18. The University acknowledges the work of members of the Disability Action Plan Development Group, who worked together from 2011 to guide the process of the development of the Disability Action Plan 2013–18. The University also recognises the work of Margaret and Michael Fox from Access Australia in supporting the development of this plan. In particular the University also thanks all those students and staff who participated in the disability action plan workshops, student and staff surveys and those who commented during the drafting process.</w:t>
      </w:r>
    </w:p>
    <w:p w:rsidR="00165722" w:rsidRPr="00A468C2" w:rsidRDefault="00165722" w:rsidP="00CC3727">
      <w:pPr>
        <w:pStyle w:val="Heading2"/>
      </w:pPr>
      <w:bookmarkStart w:id="4" w:name="_Toc357508207"/>
      <w:r w:rsidRPr="00987C7F">
        <w:t>Executive Summary</w:t>
      </w:r>
      <w:bookmarkEnd w:id="4"/>
    </w:p>
    <w:p w:rsidR="00165722" w:rsidRPr="00A468C2" w:rsidRDefault="00165722" w:rsidP="00A468C2">
      <w:pPr>
        <w:rPr>
          <w:rFonts w:cs="Arial"/>
          <w:bCs/>
          <w:szCs w:val="20"/>
          <w:lang w:val="en-US"/>
        </w:rPr>
      </w:pPr>
      <w:r w:rsidRPr="00987C7F">
        <w:rPr>
          <w:rFonts w:cs="Arial"/>
          <w:szCs w:val="20"/>
        </w:rPr>
        <w:t xml:space="preserve">This is the University’s Third Disability Action plan, and it aims </w:t>
      </w:r>
      <w:r w:rsidRPr="00987C7F">
        <w:rPr>
          <w:rFonts w:cs="Arial"/>
          <w:bCs/>
          <w:szCs w:val="20"/>
          <w:lang w:val="en-US"/>
        </w:rPr>
        <w:t>to further the human rights and inherent dignity of all students, staff and visitors to the University. It is a mark of our recognition that people with disabilities have the same human rights and inherent dignity as everyone else</w:t>
      </w:r>
      <w:r w:rsidRPr="00614876">
        <w:rPr>
          <w:rFonts w:cs="Arial"/>
          <w:bCs/>
          <w:szCs w:val="20"/>
          <w:lang w:val="en-US"/>
        </w:rPr>
        <w:t xml:space="preserve">. We are committed to working </w:t>
      </w:r>
      <w:r w:rsidR="00606E16" w:rsidRPr="00614876">
        <w:rPr>
          <w:rFonts w:cs="Arial"/>
          <w:bCs/>
          <w:szCs w:val="20"/>
          <w:lang w:val="en-US"/>
        </w:rPr>
        <w:t xml:space="preserve">proactively </w:t>
      </w:r>
      <w:r w:rsidRPr="00614876">
        <w:rPr>
          <w:rFonts w:cs="Arial"/>
          <w:bCs/>
          <w:szCs w:val="20"/>
          <w:lang w:val="en-US"/>
        </w:rPr>
        <w:t xml:space="preserve">together to ensure people with disabilities have the opportunity to </w:t>
      </w:r>
      <w:proofErr w:type="spellStart"/>
      <w:r w:rsidRPr="00614876">
        <w:rPr>
          <w:rFonts w:cs="Arial"/>
          <w:bCs/>
          <w:szCs w:val="20"/>
          <w:lang w:val="en-US"/>
        </w:rPr>
        <w:t>realise</w:t>
      </w:r>
      <w:proofErr w:type="spellEnd"/>
      <w:r w:rsidRPr="00614876">
        <w:rPr>
          <w:rFonts w:cs="Arial"/>
          <w:bCs/>
          <w:szCs w:val="20"/>
          <w:lang w:val="en-US"/>
        </w:rPr>
        <w:t xml:space="preserve"> their full potential and capabilities at this University.</w:t>
      </w:r>
    </w:p>
    <w:p w:rsidR="00165722" w:rsidRPr="00A468C2" w:rsidRDefault="00165722" w:rsidP="00165722">
      <w:pPr>
        <w:rPr>
          <w:rFonts w:cs="Arial"/>
          <w:bCs/>
          <w:szCs w:val="20"/>
          <w:lang w:val="en-US"/>
        </w:rPr>
      </w:pPr>
      <w:r w:rsidRPr="00987C7F">
        <w:rPr>
          <w:rFonts w:cs="Arial"/>
          <w:bCs/>
          <w:szCs w:val="20"/>
          <w:lang w:val="en-US"/>
        </w:rPr>
        <w:t>This plan seeks to enable students and staff with disabilities to lead full and enriched lives at the University and fully participate in all aspects of the life, education, research and administration.</w:t>
      </w:r>
    </w:p>
    <w:p w:rsidR="00165722" w:rsidRPr="00987C7F" w:rsidRDefault="00165722" w:rsidP="00165722">
      <w:pPr>
        <w:rPr>
          <w:rFonts w:cs="Arial"/>
          <w:szCs w:val="20"/>
        </w:rPr>
      </w:pPr>
      <w:r w:rsidRPr="00987C7F">
        <w:rPr>
          <w:rFonts w:cs="Arial"/>
          <w:szCs w:val="20"/>
          <w:lang w:val="en-US"/>
        </w:rPr>
        <w:t xml:space="preserve">It reflects our focus on becoming a world-class leader in the social and economic participation of people with disabilities in the life of the University. The Disability Action Plan also ensures the University meets its legislative and strategic requirements. More importantly, it </w:t>
      </w:r>
      <w:r w:rsidRPr="00987C7F">
        <w:rPr>
          <w:rFonts w:cs="Arial"/>
          <w:szCs w:val="20"/>
        </w:rPr>
        <w:t xml:space="preserve">provides the University with a plan of action for delivering an accessible best practice teaching, learning and working environment to our students, staff and visitors. While the plan outlines specific heads of departments and units as responsible for specific strategies, every staff member across the University is responsible for enabling access and inclusion. </w:t>
      </w:r>
    </w:p>
    <w:p w:rsidR="00165722" w:rsidRPr="00987C7F" w:rsidRDefault="00165722" w:rsidP="00165722">
      <w:pPr>
        <w:rPr>
          <w:rFonts w:cs="Arial"/>
          <w:szCs w:val="20"/>
        </w:rPr>
      </w:pPr>
      <w:r w:rsidRPr="00614876">
        <w:rPr>
          <w:rFonts w:cs="Arial"/>
          <w:szCs w:val="20"/>
        </w:rPr>
        <w:t>Key principles that underpin this plan include:</w:t>
      </w:r>
    </w:p>
    <w:p w:rsidR="00165722" w:rsidRPr="00987C7F" w:rsidRDefault="00165722" w:rsidP="00004DED">
      <w:pPr>
        <w:numPr>
          <w:ilvl w:val="0"/>
          <w:numId w:val="15"/>
        </w:numPr>
        <w:rPr>
          <w:rFonts w:cs="Arial"/>
          <w:szCs w:val="20"/>
          <w:lang w:val="en-US"/>
        </w:rPr>
      </w:pPr>
      <w:r w:rsidRPr="00987C7F">
        <w:rPr>
          <w:rFonts w:cs="Arial"/>
          <w:szCs w:val="20"/>
          <w:lang w:val="en-US"/>
        </w:rPr>
        <w:t xml:space="preserve">People with disabilities have the right to be treated with dignity and respect as individuals, and to </w:t>
      </w:r>
      <w:proofErr w:type="spellStart"/>
      <w:r w:rsidRPr="00987C7F">
        <w:rPr>
          <w:rFonts w:cs="Arial"/>
          <w:szCs w:val="20"/>
          <w:lang w:val="en-US"/>
        </w:rPr>
        <w:t>realise</w:t>
      </w:r>
      <w:proofErr w:type="spellEnd"/>
      <w:r w:rsidRPr="00987C7F">
        <w:rPr>
          <w:rFonts w:cs="Arial"/>
          <w:szCs w:val="20"/>
          <w:lang w:val="en-US"/>
        </w:rPr>
        <w:t xml:space="preserve"> their individual capabilities. </w:t>
      </w:r>
    </w:p>
    <w:p w:rsidR="00165722" w:rsidRPr="00987C7F" w:rsidRDefault="00165722" w:rsidP="00004DED">
      <w:pPr>
        <w:numPr>
          <w:ilvl w:val="0"/>
          <w:numId w:val="15"/>
        </w:numPr>
        <w:rPr>
          <w:rFonts w:cs="Arial"/>
          <w:szCs w:val="20"/>
          <w:lang w:val="en-US"/>
        </w:rPr>
      </w:pPr>
      <w:r w:rsidRPr="00987C7F">
        <w:rPr>
          <w:rFonts w:cs="Arial"/>
          <w:szCs w:val="20"/>
          <w:lang w:val="en-US"/>
        </w:rPr>
        <w:t xml:space="preserve">People with disabilities have the right to have access to the full range of educational and employment opportunities to </w:t>
      </w:r>
      <w:proofErr w:type="spellStart"/>
      <w:r w:rsidRPr="00987C7F">
        <w:rPr>
          <w:rFonts w:cs="Arial"/>
          <w:szCs w:val="20"/>
          <w:lang w:val="en-US"/>
        </w:rPr>
        <w:t>maximise</w:t>
      </w:r>
      <w:proofErr w:type="spellEnd"/>
      <w:r w:rsidRPr="00987C7F">
        <w:rPr>
          <w:rFonts w:cs="Arial"/>
          <w:szCs w:val="20"/>
          <w:lang w:val="en-US"/>
        </w:rPr>
        <w:t xml:space="preserve"> their learning and career development. </w:t>
      </w:r>
    </w:p>
    <w:p w:rsidR="00165722" w:rsidRPr="00987C7F" w:rsidRDefault="00165722" w:rsidP="00004DED">
      <w:pPr>
        <w:numPr>
          <w:ilvl w:val="0"/>
          <w:numId w:val="15"/>
        </w:numPr>
        <w:rPr>
          <w:rFonts w:cs="Arial"/>
          <w:szCs w:val="20"/>
          <w:lang w:val="en-US"/>
        </w:rPr>
      </w:pPr>
      <w:r w:rsidRPr="00987C7F">
        <w:rPr>
          <w:rFonts w:cs="Arial"/>
          <w:szCs w:val="20"/>
          <w:lang w:val="en-US"/>
        </w:rPr>
        <w:t xml:space="preserve">People with disabilities are consulted to determine the level and type of adjustment for their individual needs. </w:t>
      </w:r>
    </w:p>
    <w:p w:rsidR="00165722" w:rsidRPr="00987C7F" w:rsidRDefault="00165722" w:rsidP="00004DED">
      <w:pPr>
        <w:numPr>
          <w:ilvl w:val="0"/>
          <w:numId w:val="15"/>
        </w:numPr>
        <w:rPr>
          <w:rFonts w:cs="Arial"/>
          <w:szCs w:val="20"/>
          <w:lang w:val="en-US"/>
        </w:rPr>
      </w:pPr>
      <w:r w:rsidRPr="00987C7F">
        <w:rPr>
          <w:rFonts w:cs="Arial"/>
          <w:szCs w:val="20"/>
          <w:lang w:val="en-US"/>
        </w:rPr>
        <w:t xml:space="preserve">People with disabilities have rights to privacy, confidentiality and individual choices about disclosure. </w:t>
      </w:r>
    </w:p>
    <w:p w:rsidR="00165722" w:rsidRPr="00A468C2" w:rsidRDefault="00165722" w:rsidP="00165722">
      <w:pPr>
        <w:numPr>
          <w:ilvl w:val="0"/>
          <w:numId w:val="15"/>
        </w:numPr>
        <w:rPr>
          <w:rFonts w:cs="Arial"/>
          <w:szCs w:val="20"/>
          <w:lang w:val="en-US"/>
        </w:rPr>
      </w:pPr>
      <w:r w:rsidRPr="00987C7F">
        <w:rPr>
          <w:rFonts w:cs="Arial"/>
          <w:szCs w:val="20"/>
          <w:lang w:val="en-US"/>
        </w:rPr>
        <w:t xml:space="preserve">People with disabilities have the right to work and study in environments free from all forms of discrimination and harassment, consistent with the relevant legislation outlined in this plan. </w:t>
      </w:r>
    </w:p>
    <w:p w:rsidR="00165722" w:rsidRPr="00987C7F" w:rsidRDefault="00165722" w:rsidP="00165722">
      <w:pPr>
        <w:rPr>
          <w:szCs w:val="20"/>
        </w:rPr>
      </w:pPr>
      <w:r w:rsidRPr="00987C7F">
        <w:rPr>
          <w:rFonts w:cs="Arial"/>
          <w:szCs w:val="20"/>
        </w:rPr>
        <w:t>The University strives for a proactive capacity building stance on the provision of services and opportunities for people with disabilities. Therefore effective approaches that are strengths based</w:t>
      </w:r>
      <w:r w:rsidR="00D2441A">
        <w:rPr>
          <w:rFonts w:cs="Arial"/>
          <w:szCs w:val="20"/>
        </w:rPr>
        <w:t>,</w:t>
      </w:r>
      <w:r w:rsidRPr="00987C7F">
        <w:rPr>
          <w:szCs w:val="20"/>
        </w:rPr>
        <w:t xml:space="preserve"> rather than </w:t>
      </w:r>
      <w:r w:rsidR="00D2441A">
        <w:rPr>
          <w:szCs w:val="20"/>
        </w:rPr>
        <w:t>those</w:t>
      </w:r>
      <w:r w:rsidR="00D2441A" w:rsidRPr="00987C7F">
        <w:rPr>
          <w:szCs w:val="20"/>
        </w:rPr>
        <w:t xml:space="preserve"> </w:t>
      </w:r>
      <w:r w:rsidRPr="00987C7F">
        <w:rPr>
          <w:szCs w:val="20"/>
        </w:rPr>
        <w:t xml:space="preserve">that seek </w:t>
      </w:r>
      <w:r w:rsidR="00D2441A">
        <w:rPr>
          <w:szCs w:val="20"/>
        </w:rPr>
        <w:t xml:space="preserve">merely </w:t>
      </w:r>
      <w:r w:rsidRPr="00987C7F">
        <w:rPr>
          <w:szCs w:val="20"/>
        </w:rPr>
        <w:t>to minimise deficits</w:t>
      </w:r>
      <w:r w:rsidR="00D2441A">
        <w:rPr>
          <w:szCs w:val="20"/>
        </w:rPr>
        <w:t>,</w:t>
      </w:r>
      <w:r w:rsidRPr="00987C7F">
        <w:rPr>
          <w:szCs w:val="20"/>
        </w:rPr>
        <w:t xml:space="preserve"> are embraced by the University. </w:t>
      </w:r>
    </w:p>
    <w:p w:rsidR="00165722" w:rsidRPr="00987C7F" w:rsidRDefault="00165722" w:rsidP="00165722">
      <w:pPr>
        <w:rPr>
          <w:rFonts w:cs="Arial"/>
          <w:szCs w:val="20"/>
        </w:rPr>
      </w:pPr>
      <w:r w:rsidRPr="00987C7F">
        <w:rPr>
          <w:szCs w:val="20"/>
        </w:rPr>
        <w:t>To</w:t>
      </w:r>
      <w:r w:rsidRPr="00987C7F">
        <w:rPr>
          <w:rFonts w:cs="Arial"/>
          <w:szCs w:val="20"/>
        </w:rPr>
        <w:t xml:space="preserve"> guide the University to uphold its principles and responsibilities as a leading education provider the Disability Action Plan has six key objectives:</w:t>
      </w:r>
    </w:p>
    <w:p w:rsidR="00165722" w:rsidRPr="00987C7F" w:rsidRDefault="00165722" w:rsidP="00165722">
      <w:pPr>
        <w:rPr>
          <w:rFonts w:cs="Arial"/>
          <w:szCs w:val="20"/>
          <w:lang w:val="en-US"/>
        </w:rPr>
      </w:pPr>
      <w:r w:rsidRPr="00987C7F">
        <w:rPr>
          <w:rFonts w:cs="Arial"/>
          <w:szCs w:val="20"/>
          <w:lang w:val="en-US"/>
        </w:rPr>
        <w:lastRenderedPageBreak/>
        <w:t>1. The University incorporates the rights and opportunities of people with disabilities in all policies and planning.</w:t>
      </w:r>
    </w:p>
    <w:p w:rsidR="00165722" w:rsidRPr="00987C7F" w:rsidRDefault="00165722" w:rsidP="00165722">
      <w:pPr>
        <w:rPr>
          <w:rFonts w:cs="Arial"/>
          <w:szCs w:val="20"/>
          <w:lang w:val="en-US"/>
        </w:rPr>
      </w:pPr>
      <w:r w:rsidRPr="00987C7F">
        <w:rPr>
          <w:rFonts w:cs="Arial"/>
          <w:szCs w:val="20"/>
          <w:lang w:val="en-US"/>
        </w:rPr>
        <w:t xml:space="preserve">2. The University of Sydney is a tertiary education provider of choice for all students.  </w:t>
      </w:r>
    </w:p>
    <w:p w:rsidR="00165722" w:rsidRPr="00987C7F" w:rsidRDefault="00165722" w:rsidP="00165722">
      <w:pPr>
        <w:rPr>
          <w:rFonts w:eastAsia="Arial Narrow" w:cs="Arial"/>
          <w:szCs w:val="20"/>
        </w:rPr>
      </w:pPr>
      <w:r w:rsidRPr="00987C7F">
        <w:rPr>
          <w:rFonts w:eastAsia="Arial Narrow" w:cs="Arial"/>
          <w:szCs w:val="20"/>
        </w:rPr>
        <w:t>3. The University is an employer of choice for people with disabilities.</w:t>
      </w:r>
    </w:p>
    <w:p w:rsidR="00165722" w:rsidRPr="00A468C2" w:rsidRDefault="00165722" w:rsidP="00165722">
      <w:pPr>
        <w:rPr>
          <w:rFonts w:cs="Arial"/>
          <w:szCs w:val="20"/>
          <w:lang w:val="en-US"/>
        </w:rPr>
      </w:pPr>
      <w:r w:rsidRPr="00987C7F">
        <w:rPr>
          <w:rFonts w:cs="Arial"/>
          <w:szCs w:val="20"/>
          <w:lang w:val="en-US"/>
        </w:rPr>
        <w:t>4. The University’s communication and digital environment is accessible to people with disabilities.</w:t>
      </w:r>
    </w:p>
    <w:p w:rsidR="00165722" w:rsidRPr="00987C7F" w:rsidRDefault="00165722" w:rsidP="00165722">
      <w:pPr>
        <w:rPr>
          <w:rFonts w:eastAsia="Arial Narrow" w:cs="Arial"/>
          <w:szCs w:val="20"/>
        </w:rPr>
      </w:pPr>
      <w:r w:rsidRPr="00987C7F">
        <w:rPr>
          <w:rFonts w:eastAsia="Arial Narrow" w:cs="Arial"/>
          <w:szCs w:val="20"/>
        </w:rPr>
        <w:t>5. The University provides an accessible built environment to everyone.</w:t>
      </w:r>
    </w:p>
    <w:p w:rsidR="00165722" w:rsidRPr="00A468C2" w:rsidRDefault="00165722" w:rsidP="00165722">
      <w:pPr>
        <w:rPr>
          <w:rFonts w:cs="Arial"/>
          <w:szCs w:val="20"/>
          <w:lang w:val="en-US"/>
        </w:rPr>
      </w:pPr>
      <w:r w:rsidRPr="00987C7F">
        <w:rPr>
          <w:rFonts w:cs="Arial"/>
          <w:szCs w:val="20"/>
          <w:lang w:val="en-US"/>
        </w:rPr>
        <w:t xml:space="preserve">6. The University provides leadership to the community in developing an inclusive Australian society. </w:t>
      </w:r>
    </w:p>
    <w:p w:rsidR="00F306E6" w:rsidRPr="00A468C2" w:rsidRDefault="00165722" w:rsidP="00CC3727">
      <w:r w:rsidRPr="00987C7F">
        <w:t>For an understanding of the key terms used in this plan please refer to appendix 1.</w:t>
      </w:r>
    </w:p>
    <w:p w:rsidR="00165722" w:rsidRPr="00A468C2" w:rsidRDefault="00165722" w:rsidP="00CC3727">
      <w:pPr>
        <w:pStyle w:val="Heading2"/>
      </w:pPr>
      <w:bookmarkStart w:id="5" w:name="_Toc357508208"/>
      <w:r w:rsidRPr="00987C7F">
        <w:t>Aspiration</w:t>
      </w:r>
      <w:bookmarkEnd w:id="5"/>
      <w:r w:rsidRPr="00987C7F">
        <w:t xml:space="preserve"> </w:t>
      </w:r>
    </w:p>
    <w:p w:rsidR="00165722" w:rsidRPr="00987C7F" w:rsidRDefault="00165722" w:rsidP="00165722">
      <w:pPr>
        <w:rPr>
          <w:rFonts w:cs="Arial"/>
          <w:szCs w:val="20"/>
        </w:rPr>
      </w:pPr>
      <w:r w:rsidRPr="00987C7F">
        <w:rPr>
          <w:rFonts w:cs="Arial"/>
          <w:szCs w:val="20"/>
        </w:rPr>
        <w:t xml:space="preserve">Within the timeframe of this Disability Action Plan 2013–18 the University will demonstrate pragmatic and academic leadership to ensure inclusive participation for people with disabilities to work and learn at the University. </w:t>
      </w:r>
    </w:p>
    <w:p w:rsidR="00165722" w:rsidRPr="00987C7F" w:rsidRDefault="00165722" w:rsidP="00165722">
      <w:pPr>
        <w:rPr>
          <w:rFonts w:cs="Arial"/>
          <w:szCs w:val="20"/>
        </w:rPr>
      </w:pPr>
      <w:r w:rsidRPr="00987C7F">
        <w:rPr>
          <w:rFonts w:cs="Arial"/>
          <w:szCs w:val="20"/>
        </w:rPr>
        <w:t>The Disability Action Plan allows the University of Sydney to take a responsible and coordinated approach to ensure access and inclusion for all students, staff and visitors within all environments of the University. The University will continue to attract and retain the most talented students and staff and enable the participation and contribution of people with disabilities in our community. Our staff and students will be prepared to effectively engage with all members of a diverse Australian and global society.</w:t>
      </w:r>
    </w:p>
    <w:p w:rsidR="00165722" w:rsidRPr="00987C7F" w:rsidRDefault="00165722" w:rsidP="00165722">
      <w:pPr>
        <w:rPr>
          <w:rFonts w:cs="Arial"/>
          <w:szCs w:val="20"/>
        </w:rPr>
      </w:pPr>
      <w:r w:rsidRPr="00987C7F">
        <w:rPr>
          <w:rFonts w:cs="Arial"/>
          <w:szCs w:val="20"/>
        </w:rPr>
        <w:t xml:space="preserve">As </w:t>
      </w:r>
      <w:r w:rsidR="00213D4F" w:rsidRPr="007561BF">
        <w:rPr>
          <w:rFonts w:cs="Arial"/>
          <w:szCs w:val="20"/>
        </w:rPr>
        <w:t>a</w:t>
      </w:r>
      <w:r w:rsidR="00213D4F" w:rsidRPr="00987C7F">
        <w:rPr>
          <w:rFonts w:cs="Arial"/>
          <w:szCs w:val="20"/>
        </w:rPr>
        <w:t xml:space="preserve"> </w:t>
      </w:r>
      <w:r w:rsidRPr="00987C7F">
        <w:rPr>
          <w:rFonts w:cs="Arial"/>
          <w:szCs w:val="20"/>
        </w:rPr>
        <w:t xml:space="preserve">leading education provider to the community, we are responsible for the provision of inclusive and accessible education as set out by a range of legislation, including the </w:t>
      </w:r>
      <w:r w:rsidR="00587C87" w:rsidRPr="004D6773">
        <w:rPr>
          <w:rFonts w:cs="Arial"/>
          <w:i/>
          <w:szCs w:val="20"/>
        </w:rPr>
        <w:t>Convention on the Rights of Persons with Disabilities</w:t>
      </w:r>
      <w:r w:rsidR="00587C87" w:rsidRPr="004D6773">
        <w:rPr>
          <w:rFonts w:cs="Arial"/>
          <w:szCs w:val="20"/>
        </w:rPr>
        <w:t xml:space="preserve">, the </w:t>
      </w:r>
      <w:r w:rsidR="00587C87" w:rsidRPr="004D6773">
        <w:rPr>
          <w:rFonts w:cs="Arial"/>
          <w:i/>
          <w:szCs w:val="20"/>
        </w:rPr>
        <w:t>Disability Discrimination Act 1992</w:t>
      </w:r>
      <w:r w:rsidR="00587C87" w:rsidRPr="004D6773">
        <w:rPr>
          <w:rFonts w:cs="Arial"/>
          <w:szCs w:val="20"/>
        </w:rPr>
        <w:t xml:space="preserve"> (</w:t>
      </w:r>
      <w:proofErr w:type="spellStart"/>
      <w:r w:rsidR="00587C87" w:rsidRPr="004D6773">
        <w:rPr>
          <w:rFonts w:cs="Arial"/>
          <w:szCs w:val="20"/>
        </w:rPr>
        <w:t>Cth</w:t>
      </w:r>
      <w:proofErr w:type="spellEnd"/>
      <w:r w:rsidR="00587C87" w:rsidRPr="004D6773">
        <w:rPr>
          <w:rFonts w:cs="Arial"/>
          <w:szCs w:val="20"/>
        </w:rPr>
        <w:t>) and the</w:t>
      </w:r>
      <w:r w:rsidR="00587C87" w:rsidRPr="004D6773">
        <w:rPr>
          <w:rFonts w:cs="Arial"/>
          <w:i/>
          <w:szCs w:val="20"/>
        </w:rPr>
        <w:t xml:space="preserve"> Disability Standards for Education 2005</w:t>
      </w:r>
      <w:r w:rsidR="00587C87" w:rsidRPr="004D6773">
        <w:rPr>
          <w:rFonts w:cs="Arial"/>
          <w:szCs w:val="20"/>
        </w:rPr>
        <w:t>.</w:t>
      </w:r>
      <w:r w:rsidR="00587C87">
        <w:rPr>
          <w:rFonts w:cs="Arial"/>
          <w:szCs w:val="20"/>
        </w:rPr>
        <w:t xml:space="preserve"> </w:t>
      </w:r>
      <w:r w:rsidRPr="00987C7F">
        <w:rPr>
          <w:rFonts w:cs="Arial"/>
          <w:szCs w:val="20"/>
        </w:rPr>
        <w:t>However, our investment in this Disability Action Plan is not only based on meeting legislative requirements – we are bound and committed to providing a best practice accessible teaching, learning and working environment to our students, staff and visitors. We acknowledge and welcome the challenge of providing a world-class environment where all talented people can work and study at the University of Sydney and realise their full potential, irrespective of any disability.</w:t>
      </w:r>
    </w:p>
    <w:p w:rsidR="00165722" w:rsidRPr="007561BF" w:rsidRDefault="00165722" w:rsidP="00165722">
      <w:pPr>
        <w:rPr>
          <w:rFonts w:cs="Arial"/>
          <w:szCs w:val="20"/>
        </w:rPr>
      </w:pPr>
      <w:r w:rsidRPr="00987C7F">
        <w:rPr>
          <w:rFonts w:cs="Arial"/>
          <w:szCs w:val="20"/>
        </w:rPr>
        <w:t xml:space="preserve">This approach will enhance our tradition as a leading education provider and as a leader within society. We look to </w:t>
      </w:r>
      <w:r w:rsidRPr="007561BF">
        <w:rPr>
          <w:rFonts w:cs="Arial"/>
          <w:szCs w:val="20"/>
        </w:rPr>
        <w:t>a future where people with disabilities are a part of the fabric of our organisation and we aim to move away from the complaints</w:t>
      </w:r>
      <w:r w:rsidR="00356EBA" w:rsidRPr="007561BF">
        <w:rPr>
          <w:rFonts w:cs="Arial"/>
          <w:szCs w:val="20"/>
        </w:rPr>
        <w:t>-</w:t>
      </w:r>
      <w:r w:rsidRPr="007561BF">
        <w:rPr>
          <w:rFonts w:cs="Arial"/>
          <w:szCs w:val="20"/>
        </w:rPr>
        <w:t xml:space="preserve">based reporting process currently enshrined in legislation as regards access and equity issues to a forward-looking one that is more advisory and consultative. </w:t>
      </w:r>
    </w:p>
    <w:p w:rsidR="00165722" w:rsidRPr="007561BF" w:rsidRDefault="00165722" w:rsidP="00165722">
      <w:pPr>
        <w:rPr>
          <w:rFonts w:cs="Arial"/>
          <w:szCs w:val="20"/>
        </w:rPr>
      </w:pPr>
      <w:r w:rsidRPr="007561BF">
        <w:rPr>
          <w:rFonts w:cs="Arial"/>
          <w:szCs w:val="20"/>
        </w:rPr>
        <w:t xml:space="preserve">Equitable access to education and employment is an important contributor to the overall wellbeing of our community, and enhancing that wellbeing has a positive impact on all of us. In recent years within Australia, disability has become a high-profile discussion point. It has been the centre of key political debate, particularly with the emergence of the National Disability Insurance Scheme. People with disabilities, their carers, family and friends are campaigning for improvements to basic rights, such as services and facilities that support people with disabilities and access to education. It is well documented that disadvantage is experienced by people with </w:t>
      </w:r>
      <w:r w:rsidRPr="007561BF">
        <w:rPr>
          <w:rFonts w:cs="Arial"/>
          <w:szCs w:val="20"/>
        </w:rPr>
        <w:lastRenderedPageBreak/>
        <w:t>disabilities in all aspects of life including lack of access to and participation in education and employment opportunities.</w:t>
      </w:r>
      <w:r w:rsidRPr="007561BF">
        <w:rPr>
          <w:rStyle w:val="FootnoteReference"/>
          <w:rFonts w:cs="Arial"/>
          <w:szCs w:val="20"/>
        </w:rPr>
        <w:footnoteReference w:id="1"/>
      </w:r>
      <w:r w:rsidRPr="007561BF">
        <w:rPr>
          <w:rFonts w:cs="Arial"/>
          <w:szCs w:val="20"/>
        </w:rPr>
        <w:t xml:space="preserve"> </w:t>
      </w:r>
    </w:p>
    <w:p w:rsidR="00165722" w:rsidRPr="007561BF" w:rsidRDefault="00165722" w:rsidP="00165722">
      <w:pPr>
        <w:rPr>
          <w:rFonts w:cs="Arial"/>
          <w:szCs w:val="20"/>
        </w:rPr>
      </w:pPr>
      <w:r w:rsidRPr="007561BF">
        <w:rPr>
          <w:rFonts w:cs="Arial"/>
          <w:szCs w:val="20"/>
        </w:rPr>
        <w:t xml:space="preserve">As a university, it is both our legislative and moral duty to ensure we work </w:t>
      </w:r>
      <w:r w:rsidR="00D2441A" w:rsidRPr="007561BF">
        <w:rPr>
          <w:rFonts w:cs="Arial"/>
          <w:szCs w:val="20"/>
        </w:rPr>
        <w:t xml:space="preserve">proactively </w:t>
      </w:r>
      <w:r w:rsidRPr="007561BF">
        <w:rPr>
          <w:rFonts w:cs="Arial"/>
          <w:szCs w:val="20"/>
        </w:rPr>
        <w:t xml:space="preserve">to fulfil the purpose of the </w:t>
      </w:r>
      <w:r w:rsidRPr="007561BF">
        <w:rPr>
          <w:rFonts w:cs="Arial"/>
          <w:i/>
          <w:szCs w:val="20"/>
        </w:rPr>
        <w:t>Convention on the Rights of Persons with Disabil</w:t>
      </w:r>
      <w:r w:rsidR="00493D8A" w:rsidRPr="007561BF">
        <w:rPr>
          <w:rFonts w:cs="Arial"/>
          <w:i/>
          <w:szCs w:val="20"/>
        </w:rPr>
        <w:t>i</w:t>
      </w:r>
      <w:r w:rsidRPr="007561BF">
        <w:rPr>
          <w:rFonts w:cs="Arial"/>
          <w:i/>
          <w:szCs w:val="20"/>
        </w:rPr>
        <w:t>ties</w:t>
      </w:r>
      <w:r w:rsidR="00D2441A" w:rsidRPr="007561BF">
        <w:rPr>
          <w:rFonts w:cs="Arial"/>
          <w:i/>
          <w:szCs w:val="20"/>
        </w:rPr>
        <w:t>,</w:t>
      </w:r>
      <w:r w:rsidRPr="007561BF">
        <w:rPr>
          <w:rFonts w:cs="Arial"/>
          <w:szCs w:val="20"/>
        </w:rPr>
        <w:t xml:space="preserve"> which is to “promote, protect and ensure the full and equal enjoyment of all human rights and fundamental freedoms by all persons with disabilities, and to promote respect for their inherent dignity”</w:t>
      </w:r>
      <w:r w:rsidR="00356EBA" w:rsidRPr="007561BF">
        <w:rPr>
          <w:rFonts w:cs="Arial"/>
          <w:szCs w:val="20"/>
        </w:rPr>
        <w:t>.</w:t>
      </w:r>
      <w:r w:rsidRPr="007561BF">
        <w:rPr>
          <w:rStyle w:val="FootnoteReference"/>
          <w:rFonts w:cs="Arial"/>
          <w:szCs w:val="20"/>
        </w:rPr>
        <w:footnoteReference w:id="2"/>
      </w:r>
    </w:p>
    <w:p w:rsidR="00165722" w:rsidRPr="00987C7F" w:rsidRDefault="00165722" w:rsidP="00165722">
      <w:pPr>
        <w:rPr>
          <w:rFonts w:cs="Arial"/>
          <w:szCs w:val="20"/>
          <w:lang w:val="en-US"/>
        </w:rPr>
      </w:pPr>
      <w:r w:rsidRPr="007561BF">
        <w:rPr>
          <w:rFonts w:cs="Arial"/>
          <w:szCs w:val="20"/>
        </w:rPr>
        <w:t xml:space="preserve">This Disability Action Plan </w:t>
      </w:r>
      <w:r w:rsidRPr="007561BF">
        <w:rPr>
          <w:rFonts w:cs="Arial"/>
          <w:szCs w:val="20"/>
          <w:lang w:val="en-US"/>
        </w:rPr>
        <w:t>seeks to eliminate discrimination and provides a blueprint for the University to achieve the following goals</w:t>
      </w:r>
      <w:r w:rsidR="00356EBA" w:rsidRPr="007561BF">
        <w:rPr>
          <w:rFonts w:cs="Arial"/>
          <w:szCs w:val="20"/>
          <w:lang w:val="en-US"/>
        </w:rPr>
        <w:t>.</w:t>
      </w:r>
      <w:r w:rsidRPr="00987C7F">
        <w:rPr>
          <w:rFonts w:cs="Arial"/>
          <w:szCs w:val="20"/>
          <w:lang w:val="en-US"/>
        </w:rPr>
        <w:t xml:space="preserve"> </w:t>
      </w:r>
    </w:p>
    <w:p w:rsidR="00165722" w:rsidRPr="00987C7F" w:rsidRDefault="00165722" w:rsidP="00CC3727">
      <w:pPr>
        <w:pStyle w:val="Heading2"/>
        <w:rPr>
          <w:lang w:val="en-US"/>
        </w:rPr>
      </w:pPr>
      <w:bookmarkStart w:id="6" w:name="_Toc357508209"/>
      <w:r w:rsidRPr="00987C7F">
        <w:rPr>
          <w:lang w:val="en-US"/>
        </w:rPr>
        <w:t>Culture</w:t>
      </w:r>
      <w:bookmarkEnd w:id="6"/>
    </w:p>
    <w:p w:rsidR="00165722" w:rsidRPr="00987C7F" w:rsidRDefault="00165722" w:rsidP="00165722">
      <w:pPr>
        <w:rPr>
          <w:rFonts w:cs="Arial"/>
          <w:szCs w:val="20"/>
          <w:lang w:val="en-US"/>
        </w:rPr>
      </w:pPr>
      <w:r w:rsidRPr="00987C7F">
        <w:rPr>
          <w:rFonts w:cs="Arial"/>
          <w:szCs w:val="20"/>
          <w:lang w:val="en-US"/>
        </w:rPr>
        <w:t xml:space="preserve">As an </w:t>
      </w:r>
      <w:proofErr w:type="spellStart"/>
      <w:r w:rsidRPr="00987C7F">
        <w:rPr>
          <w:rFonts w:cs="Arial"/>
          <w:szCs w:val="20"/>
          <w:lang w:val="en-US"/>
        </w:rPr>
        <w:t>organisation</w:t>
      </w:r>
      <w:proofErr w:type="spellEnd"/>
      <w:r w:rsidRPr="00987C7F">
        <w:rPr>
          <w:rFonts w:cs="Arial"/>
          <w:szCs w:val="20"/>
          <w:lang w:val="en-US"/>
        </w:rPr>
        <w:t xml:space="preserve"> we will become confident in understanding the nature and scope of disability. ‘Disability’ will be demystified and a part of our everyday business. The University’s culture will become progressive and forward thinking in the area of disability. We will affect change in all areas of access and participation at the University through embracing a proactive capacity building approach and ensuring that people with disabilities and their representative </w:t>
      </w:r>
      <w:proofErr w:type="spellStart"/>
      <w:r w:rsidRPr="00987C7F">
        <w:rPr>
          <w:rFonts w:cs="Arial"/>
          <w:szCs w:val="20"/>
          <w:lang w:val="en-US"/>
        </w:rPr>
        <w:t>organisations</w:t>
      </w:r>
      <w:proofErr w:type="spellEnd"/>
      <w:r w:rsidRPr="00987C7F">
        <w:rPr>
          <w:rFonts w:cs="Arial"/>
          <w:szCs w:val="20"/>
          <w:lang w:val="en-US"/>
        </w:rPr>
        <w:t xml:space="preserve"> are consulted and involved in this process. </w:t>
      </w:r>
      <w:r w:rsidRPr="00987C7F">
        <w:rPr>
          <w:rFonts w:cs="Arial"/>
          <w:szCs w:val="20"/>
        </w:rPr>
        <w:t>Staff and students will be prepared to effectively engage with all members of a diverse Australian and global society.</w:t>
      </w:r>
      <w:r w:rsidRPr="00987C7F">
        <w:rPr>
          <w:rFonts w:cs="Arial"/>
          <w:szCs w:val="20"/>
          <w:lang w:val="en-US"/>
        </w:rPr>
        <w:t xml:space="preserve"> </w:t>
      </w:r>
    </w:p>
    <w:p w:rsidR="00165722" w:rsidRPr="00987C7F" w:rsidRDefault="00165722" w:rsidP="00CC3727">
      <w:pPr>
        <w:pStyle w:val="Heading2"/>
        <w:rPr>
          <w:lang w:val="en-US"/>
        </w:rPr>
      </w:pPr>
      <w:bookmarkStart w:id="7" w:name="_Toc357508210"/>
      <w:r w:rsidRPr="00987C7F">
        <w:rPr>
          <w:lang w:val="en-US"/>
        </w:rPr>
        <w:t>Learning environment</w:t>
      </w:r>
      <w:bookmarkEnd w:id="7"/>
    </w:p>
    <w:p w:rsidR="00165722" w:rsidRPr="00A468C2" w:rsidRDefault="00165722" w:rsidP="00165722">
      <w:pPr>
        <w:rPr>
          <w:rFonts w:cs="Arial"/>
          <w:szCs w:val="20"/>
          <w:lang w:val="en-US"/>
        </w:rPr>
      </w:pPr>
      <w:r w:rsidRPr="00987C7F">
        <w:rPr>
          <w:rFonts w:cs="Arial"/>
          <w:szCs w:val="20"/>
          <w:lang w:val="en-US"/>
        </w:rPr>
        <w:t xml:space="preserve">The University will be </w:t>
      </w:r>
      <w:proofErr w:type="spellStart"/>
      <w:r w:rsidRPr="00987C7F">
        <w:rPr>
          <w:rFonts w:cs="Arial"/>
          <w:szCs w:val="20"/>
          <w:lang w:val="en-US"/>
        </w:rPr>
        <w:t>recognised</w:t>
      </w:r>
      <w:proofErr w:type="spellEnd"/>
      <w:r w:rsidRPr="00987C7F">
        <w:rPr>
          <w:rFonts w:cs="Arial"/>
          <w:szCs w:val="20"/>
          <w:lang w:val="en-US"/>
        </w:rPr>
        <w:t xml:space="preserve"> as a leader in providing inclusive, accessible and innovative learning environments so that talented students with disabilities will be attracted to study at the University of Sydney. </w:t>
      </w:r>
      <w:r w:rsidRPr="005838BE">
        <w:rPr>
          <w:rFonts w:cs="Arial"/>
          <w:szCs w:val="20"/>
          <w:lang w:val="en-US"/>
        </w:rPr>
        <w:t xml:space="preserve">Access to participation to study at this University will improve for people with disabilities. The protection and promotion of the rights of students with disabilities will support our goals to increase the </w:t>
      </w:r>
      <w:r w:rsidR="00606E16">
        <w:rPr>
          <w:rFonts w:cs="Arial"/>
          <w:szCs w:val="20"/>
          <w:lang w:val="en-US"/>
        </w:rPr>
        <w:t>proportion</w:t>
      </w:r>
      <w:r w:rsidR="005838BE" w:rsidRPr="005838BE">
        <w:rPr>
          <w:rFonts w:cs="Arial"/>
          <w:szCs w:val="20"/>
          <w:lang w:val="en-US"/>
        </w:rPr>
        <w:t xml:space="preserve"> </w:t>
      </w:r>
      <w:r w:rsidRPr="005838BE">
        <w:rPr>
          <w:rFonts w:cs="Arial"/>
          <w:szCs w:val="20"/>
          <w:lang w:val="en-US"/>
        </w:rPr>
        <w:t xml:space="preserve">of students with disabilities at the University. The engagement </w:t>
      </w:r>
      <w:r w:rsidRPr="007561BF">
        <w:rPr>
          <w:rFonts w:cs="Arial"/>
          <w:szCs w:val="20"/>
          <w:lang w:val="en-US"/>
        </w:rPr>
        <w:t>of students with disabilities will increase and opportunities for achieving</w:t>
      </w:r>
      <w:r w:rsidR="007561BF">
        <w:rPr>
          <w:rFonts w:cs="Arial"/>
          <w:szCs w:val="20"/>
          <w:lang w:val="en-US"/>
        </w:rPr>
        <w:t xml:space="preserve"> their</w:t>
      </w:r>
      <w:r w:rsidRPr="007561BF">
        <w:rPr>
          <w:rFonts w:cs="Arial"/>
          <w:szCs w:val="20"/>
          <w:lang w:val="en-US"/>
        </w:rPr>
        <w:t xml:space="preserve"> full potential</w:t>
      </w:r>
      <w:r w:rsidR="005838BE" w:rsidRPr="007561BF">
        <w:rPr>
          <w:rFonts w:cs="Arial"/>
          <w:szCs w:val="20"/>
          <w:lang w:val="en-US"/>
        </w:rPr>
        <w:t xml:space="preserve"> will</w:t>
      </w:r>
      <w:r w:rsidRPr="007561BF">
        <w:rPr>
          <w:rFonts w:cs="Arial"/>
          <w:szCs w:val="20"/>
          <w:lang w:val="en-US"/>
        </w:rPr>
        <w:t xml:space="preserve"> improve.</w:t>
      </w:r>
    </w:p>
    <w:p w:rsidR="00165722" w:rsidRPr="00987C7F" w:rsidRDefault="00165722" w:rsidP="00CC3727">
      <w:pPr>
        <w:pStyle w:val="Heading2"/>
        <w:rPr>
          <w:lang w:val="en-US"/>
        </w:rPr>
      </w:pPr>
      <w:bookmarkStart w:id="8" w:name="_Toc357508211"/>
      <w:r w:rsidRPr="00987C7F">
        <w:rPr>
          <w:lang w:val="en-US"/>
        </w:rPr>
        <w:t>Teaching environment</w:t>
      </w:r>
      <w:bookmarkEnd w:id="8"/>
      <w:r w:rsidRPr="00987C7F">
        <w:rPr>
          <w:lang w:val="en-US"/>
        </w:rPr>
        <w:t xml:space="preserve"> </w:t>
      </w:r>
    </w:p>
    <w:p w:rsidR="00165722" w:rsidRPr="00987C7F" w:rsidRDefault="00165722" w:rsidP="00165722">
      <w:pPr>
        <w:rPr>
          <w:rFonts w:cs="Arial"/>
          <w:szCs w:val="20"/>
          <w:lang w:val="en-US"/>
        </w:rPr>
      </w:pPr>
      <w:r w:rsidRPr="00987C7F">
        <w:rPr>
          <w:rFonts w:cs="Arial"/>
          <w:szCs w:val="20"/>
          <w:lang w:val="en-US"/>
        </w:rPr>
        <w:t xml:space="preserve">The University will provide support to its teaching staff to enable them to deliver inclusive, accessible and innovative teaching methods. We will attract teaching and research staff from all backgrounds to work here and support them to deliver world-class inclusive teaching practices. </w:t>
      </w:r>
    </w:p>
    <w:p w:rsidR="00165722" w:rsidRPr="00987C7F" w:rsidRDefault="00165722" w:rsidP="00CC3727">
      <w:pPr>
        <w:pStyle w:val="Heading2"/>
        <w:rPr>
          <w:lang w:val="en-US"/>
        </w:rPr>
      </w:pPr>
      <w:bookmarkStart w:id="9" w:name="_Toc357508212"/>
      <w:r w:rsidRPr="00987C7F">
        <w:rPr>
          <w:lang w:val="en-US"/>
        </w:rPr>
        <w:t>Employment</w:t>
      </w:r>
      <w:bookmarkEnd w:id="9"/>
    </w:p>
    <w:p w:rsidR="00165722" w:rsidRPr="00987C7F" w:rsidRDefault="00165722" w:rsidP="00165722">
      <w:pPr>
        <w:rPr>
          <w:rFonts w:cs="Arial"/>
          <w:szCs w:val="20"/>
          <w:lang w:val="en-US"/>
        </w:rPr>
      </w:pPr>
      <w:r w:rsidRPr="00987C7F">
        <w:rPr>
          <w:rFonts w:cs="Arial"/>
          <w:szCs w:val="20"/>
          <w:lang w:val="en-US"/>
        </w:rPr>
        <w:t xml:space="preserve">The University will provide a considerate, flexible and inclusive working environment for all staff. Staff supporting staff with disabilities will be knowledgeable and well resourced to support the participation and career </w:t>
      </w:r>
      <w:r w:rsidRPr="00987C7F">
        <w:rPr>
          <w:rFonts w:cs="Arial"/>
          <w:szCs w:val="20"/>
          <w:lang w:val="en-US"/>
        </w:rPr>
        <w:lastRenderedPageBreak/>
        <w:t xml:space="preserve">development of staff with disabilities at the University. </w:t>
      </w:r>
      <w:r w:rsidRPr="005838BE">
        <w:rPr>
          <w:rFonts w:cs="Arial"/>
          <w:szCs w:val="20"/>
          <w:lang w:val="en-US"/>
        </w:rPr>
        <w:t xml:space="preserve">The protection and promotion of the rights of staff with disabilities will support our goals to increase the </w:t>
      </w:r>
      <w:r w:rsidR="00606E16">
        <w:rPr>
          <w:rFonts w:cs="Arial"/>
          <w:szCs w:val="20"/>
          <w:lang w:val="en-US"/>
        </w:rPr>
        <w:t>proportion</w:t>
      </w:r>
      <w:r w:rsidR="005838BE" w:rsidRPr="005838BE">
        <w:rPr>
          <w:rFonts w:cs="Arial"/>
          <w:szCs w:val="20"/>
          <w:lang w:val="en-US"/>
        </w:rPr>
        <w:t xml:space="preserve"> </w:t>
      </w:r>
      <w:r w:rsidRPr="005838BE">
        <w:rPr>
          <w:rFonts w:cs="Arial"/>
          <w:szCs w:val="20"/>
          <w:lang w:val="en-US"/>
        </w:rPr>
        <w:t>of staff with disabilities.</w:t>
      </w:r>
    </w:p>
    <w:p w:rsidR="00165722" w:rsidRPr="00987C7F" w:rsidRDefault="00165722" w:rsidP="00CC3727">
      <w:pPr>
        <w:pStyle w:val="Heading2"/>
        <w:rPr>
          <w:lang w:val="en-US"/>
        </w:rPr>
      </w:pPr>
      <w:bookmarkStart w:id="10" w:name="_Toc357508213"/>
      <w:r w:rsidRPr="00987C7F">
        <w:rPr>
          <w:lang w:val="en-US"/>
        </w:rPr>
        <w:t>Communication, digital and physical environments</w:t>
      </w:r>
      <w:bookmarkEnd w:id="10"/>
    </w:p>
    <w:p w:rsidR="0067137E" w:rsidRDefault="00165722" w:rsidP="00CC3727">
      <w:pPr>
        <w:rPr>
          <w:b/>
        </w:rPr>
      </w:pPr>
      <w:r w:rsidRPr="00987C7F">
        <w:rPr>
          <w:lang w:val="en-US"/>
        </w:rPr>
        <w:t>The University will address access issues in its communication, digital and physical environments, to imp</w:t>
      </w:r>
      <w:r w:rsidR="00D446F8">
        <w:rPr>
          <w:lang w:val="en-US"/>
        </w:rPr>
        <w:t>rove access and participation in</w:t>
      </w:r>
      <w:r w:rsidRPr="00987C7F">
        <w:rPr>
          <w:lang w:val="en-US"/>
        </w:rPr>
        <w:t xml:space="preserve"> the life of the University for all students, staff and visitors.</w:t>
      </w:r>
    </w:p>
    <w:p w:rsidR="00165722" w:rsidRPr="00987C7F" w:rsidRDefault="00165722" w:rsidP="00974300">
      <w:pPr>
        <w:pStyle w:val="Heading2"/>
      </w:pPr>
      <w:bookmarkStart w:id="11" w:name="_Toc357508214"/>
      <w:r w:rsidRPr="00987C7F">
        <w:t>DEMOGRAPHICS</w:t>
      </w:r>
      <w:bookmarkEnd w:id="11"/>
    </w:p>
    <w:p w:rsidR="00165722" w:rsidRPr="00987C7F" w:rsidRDefault="00165722" w:rsidP="00165722">
      <w:pPr>
        <w:rPr>
          <w:rFonts w:cs="Arial"/>
          <w:szCs w:val="20"/>
        </w:rPr>
      </w:pPr>
      <w:r w:rsidRPr="00987C7F">
        <w:rPr>
          <w:rFonts w:cs="Arial"/>
          <w:szCs w:val="20"/>
        </w:rPr>
        <w:t xml:space="preserve">People with disabilities make up a significant proportion of our community. Disability is a part of the human experience. According to the </w:t>
      </w:r>
      <w:r w:rsidRPr="00987C7F">
        <w:rPr>
          <w:rFonts w:cs="Arial"/>
          <w:i/>
          <w:szCs w:val="20"/>
        </w:rPr>
        <w:t>World Report on Disability</w:t>
      </w:r>
      <w:r w:rsidRPr="00987C7F">
        <w:rPr>
          <w:rFonts w:cs="Arial"/>
          <w:szCs w:val="20"/>
        </w:rPr>
        <w:t xml:space="preserve"> “almost everyone will be temporarily or permanently impaired at some point in life, and those who survive to old age will experience increasing difficulties in functioning.”</w:t>
      </w:r>
      <w:r w:rsidRPr="00987C7F">
        <w:rPr>
          <w:rStyle w:val="FootnoteReference"/>
          <w:rFonts w:cs="Arial"/>
          <w:szCs w:val="20"/>
        </w:rPr>
        <w:footnoteReference w:id="3"/>
      </w:r>
    </w:p>
    <w:p w:rsidR="00165722" w:rsidRPr="00987C7F" w:rsidRDefault="00165722" w:rsidP="00165722">
      <w:pPr>
        <w:rPr>
          <w:rFonts w:cs="Arial"/>
          <w:szCs w:val="20"/>
        </w:rPr>
      </w:pPr>
      <w:r w:rsidRPr="00987C7F">
        <w:rPr>
          <w:rFonts w:cs="Arial"/>
          <w:szCs w:val="20"/>
        </w:rPr>
        <w:t xml:space="preserve">According to the World Health Organization: </w:t>
      </w:r>
    </w:p>
    <w:p w:rsidR="00165722" w:rsidRPr="00987C7F" w:rsidRDefault="00165722" w:rsidP="00425DAB">
      <w:pPr>
        <w:pStyle w:val="ColorfulList-Accent11"/>
        <w:numPr>
          <w:ilvl w:val="0"/>
          <w:numId w:val="8"/>
        </w:numPr>
        <w:spacing w:line="480" w:lineRule="auto"/>
        <w:rPr>
          <w:rFonts w:cs="Arial"/>
          <w:szCs w:val="20"/>
        </w:rPr>
      </w:pPr>
      <w:r w:rsidRPr="00987C7F">
        <w:rPr>
          <w:rFonts w:cs="Arial"/>
          <w:szCs w:val="20"/>
        </w:rPr>
        <w:t xml:space="preserve">“Over a billion people or about 15% of the world's population, have some form of disability. </w:t>
      </w:r>
    </w:p>
    <w:p w:rsidR="00425DAB" w:rsidRDefault="00165722" w:rsidP="00425DAB">
      <w:pPr>
        <w:pStyle w:val="ColorfulList-Accent11"/>
        <w:numPr>
          <w:ilvl w:val="0"/>
          <w:numId w:val="8"/>
        </w:numPr>
        <w:spacing w:line="480" w:lineRule="auto"/>
        <w:rPr>
          <w:rFonts w:cs="Arial"/>
          <w:szCs w:val="20"/>
        </w:rPr>
      </w:pPr>
      <w:r w:rsidRPr="00987C7F">
        <w:rPr>
          <w:rFonts w:cs="Arial"/>
          <w:szCs w:val="20"/>
        </w:rPr>
        <w:t>Between 110 million and 190 million people have significant difficulties in functioning.</w:t>
      </w:r>
    </w:p>
    <w:p w:rsidR="00425DAB" w:rsidRDefault="00165722" w:rsidP="00425DAB">
      <w:pPr>
        <w:pStyle w:val="ColorfulList-Accent11"/>
        <w:numPr>
          <w:ilvl w:val="0"/>
          <w:numId w:val="8"/>
        </w:numPr>
        <w:spacing w:line="480" w:lineRule="auto"/>
        <w:rPr>
          <w:rFonts w:cs="Arial"/>
          <w:szCs w:val="20"/>
        </w:rPr>
      </w:pPr>
      <w:r w:rsidRPr="00425DAB">
        <w:rPr>
          <w:rFonts w:cs="Arial"/>
          <w:szCs w:val="20"/>
        </w:rPr>
        <w:t>Rates of disability are increasing due to population ageing and increases in chronic health conditions, among other causes.</w:t>
      </w:r>
    </w:p>
    <w:p w:rsidR="00165722" w:rsidRPr="00425DAB" w:rsidRDefault="00165722" w:rsidP="00425DAB">
      <w:pPr>
        <w:pStyle w:val="ColorfulList-Accent11"/>
        <w:numPr>
          <w:ilvl w:val="0"/>
          <w:numId w:val="8"/>
        </w:numPr>
        <w:spacing w:line="480" w:lineRule="auto"/>
        <w:rPr>
          <w:rFonts w:cs="Arial"/>
          <w:szCs w:val="20"/>
        </w:rPr>
      </w:pPr>
      <w:r w:rsidRPr="00425DAB">
        <w:rPr>
          <w:rFonts w:cs="Arial"/>
          <w:szCs w:val="20"/>
        </w:rPr>
        <w:t>Persons with disabilities on average as a group experience worse socioeconomic outcomes than persons without disabilities, such as less education, worse health outcomes, less employment, and higher poverty rates.”</w:t>
      </w:r>
      <w:r w:rsidRPr="00987C7F">
        <w:rPr>
          <w:rStyle w:val="FootnoteReference"/>
          <w:rFonts w:cs="Arial"/>
          <w:szCs w:val="20"/>
        </w:rPr>
        <w:footnoteReference w:id="4"/>
      </w:r>
    </w:p>
    <w:p w:rsidR="00165722" w:rsidRPr="00987C7F" w:rsidRDefault="00165722" w:rsidP="00165722">
      <w:pPr>
        <w:rPr>
          <w:rFonts w:cs="Arial"/>
          <w:bCs/>
          <w:szCs w:val="20"/>
        </w:rPr>
      </w:pPr>
      <w:r w:rsidRPr="00987C7F">
        <w:rPr>
          <w:rFonts w:cs="Arial"/>
          <w:bCs/>
          <w:szCs w:val="20"/>
        </w:rPr>
        <w:t xml:space="preserve">According to the </w:t>
      </w:r>
      <w:r w:rsidRPr="00987C7F">
        <w:rPr>
          <w:rFonts w:cs="Arial"/>
          <w:i/>
          <w:szCs w:val="20"/>
        </w:rPr>
        <w:t>Australian Bureau of Statistics (ABS) Survey of Disability, Ageing and Carers</w:t>
      </w:r>
      <w:r w:rsidRPr="00987C7F">
        <w:rPr>
          <w:rFonts w:cs="Arial"/>
          <w:bCs/>
          <w:i/>
          <w:szCs w:val="20"/>
        </w:rPr>
        <w:t xml:space="preserve"> 2009</w:t>
      </w:r>
      <w:r w:rsidRPr="00987C7F">
        <w:rPr>
          <w:rFonts w:cs="Arial"/>
          <w:bCs/>
          <w:szCs w:val="20"/>
        </w:rPr>
        <w:t>,</w:t>
      </w:r>
      <w:r w:rsidRPr="00987C7F">
        <w:rPr>
          <w:rFonts w:cs="Arial"/>
          <w:szCs w:val="20"/>
        </w:rPr>
        <w:t xml:space="preserve"> i</w:t>
      </w:r>
      <w:r w:rsidRPr="00987C7F">
        <w:rPr>
          <w:rFonts w:cs="Arial"/>
          <w:bCs/>
          <w:szCs w:val="20"/>
        </w:rPr>
        <w:t xml:space="preserve">n Australia 18.5 </w:t>
      </w:r>
      <w:proofErr w:type="spellStart"/>
      <w:r w:rsidRPr="00987C7F">
        <w:rPr>
          <w:rFonts w:cs="Arial"/>
          <w:bCs/>
          <w:szCs w:val="20"/>
        </w:rPr>
        <w:t>percent</w:t>
      </w:r>
      <w:proofErr w:type="spellEnd"/>
      <w:r w:rsidRPr="00987C7F">
        <w:rPr>
          <w:rFonts w:cs="Arial"/>
          <w:bCs/>
          <w:szCs w:val="20"/>
        </w:rPr>
        <w:t xml:space="preserve"> or more than four million people reported as having a disability.</w:t>
      </w:r>
      <w:r w:rsidRPr="00987C7F">
        <w:rPr>
          <w:rStyle w:val="FootnoteReference"/>
          <w:rFonts w:cs="Arial"/>
          <w:bCs/>
          <w:szCs w:val="20"/>
        </w:rPr>
        <w:footnoteReference w:id="5"/>
      </w:r>
    </w:p>
    <w:p w:rsidR="00165722" w:rsidRPr="00987C7F" w:rsidRDefault="00165722" w:rsidP="00165722">
      <w:pPr>
        <w:spacing w:after="120"/>
        <w:rPr>
          <w:rFonts w:cs="Arial"/>
          <w:bCs/>
          <w:szCs w:val="20"/>
        </w:rPr>
      </w:pPr>
      <w:r w:rsidRPr="00987C7F">
        <w:rPr>
          <w:rFonts w:cs="Arial"/>
          <w:bCs/>
          <w:szCs w:val="20"/>
        </w:rPr>
        <w:t>In Australia:</w:t>
      </w:r>
    </w:p>
    <w:p w:rsidR="00165722" w:rsidRPr="00987C7F" w:rsidRDefault="00165722" w:rsidP="00004DED">
      <w:pPr>
        <w:numPr>
          <w:ilvl w:val="0"/>
          <w:numId w:val="14"/>
        </w:numPr>
        <w:rPr>
          <w:rFonts w:cs="Arial"/>
          <w:szCs w:val="20"/>
        </w:rPr>
      </w:pPr>
      <w:r w:rsidRPr="00987C7F">
        <w:rPr>
          <w:rFonts w:cs="Arial"/>
          <w:bCs/>
          <w:szCs w:val="20"/>
        </w:rPr>
        <w:t xml:space="preserve">15 </w:t>
      </w:r>
      <w:proofErr w:type="spellStart"/>
      <w:r w:rsidRPr="00987C7F">
        <w:rPr>
          <w:rFonts w:cs="Arial"/>
          <w:bCs/>
          <w:szCs w:val="20"/>
        </w:rPr>
        <w:t>percent</w:t>
      </w:r>
      <w:proofErr w:type="spellEnd"/>
      <w:r w:rsidRPr="00987C7F">
        <w:rPr>
          <w:rFonts w:cs="Arial"/>
          <w:bCs/>
          <w:szCs w:val="20"/>
        </w:rPr>
        <w:t xml:space="preserve"> of Australians of working age (15-64 years of age) have a disability</w:t>
      </w:r>
      <w:r w:rsidRPr="00987C7F">
        <w:rPr>
          <w:rStyle w:val="FootnoteReference"/>
          <w:rFonts w:cs="Arial"/>
          <w:bCs/>
          <w:szCs w:val="20"/>
        </w:rPr>
        <w:footnoteReference w:id="6"/>
      </w:r>
    </w:p>
    <w:p w:rsidR="00165722" w:rsidRPr="00987C7F" w:rsidRDefault="00165722" w:rsidP="00004DED">
      <w:pPr>
        <w:numPr>
          <w:ilvl w:val="0"/>
          <w:numId w:val="14"/>
        </w:numPr>
        <w:rPr>
          <w:rFonts w:cs="Arial"/>
          <w:szCs w:val="20"/>
        </w:rPr>
      </w:pPr>
      <w:r w:rsidRPr="00987C7F">
        <w:rPr>
          <w:rFonts w:cs="Arial"/>
          <w:bCs/>
          <w:szCs w:val="20"/>
          <w:lang w:val="en-US"/>
        </w:rPr>
        <w:lastRenderedPageBreak/>
        <w:t>54 percent</w:t>
      </w:r>
      <w:r w:rsidRPr="00987C7F">
        <w:rPr>
          <w:rFonts w:cs="Arial"/>
          <w:szCs w:val="20"/>
          <w:lang w:val="en-US"/>
        </w:rPr>
        <w:t xml:space="preserve"> of people with a disability are in a job or looking for one. 83 percent of people with no disability are in a job or looking for one.</w:t>
      </w:r>
      <w:r w:rsidRPr="00987C7F">
        <w:rPr>
          <w:rStyle w:val="FootnoteReference"/>
          <w:rFonts w:cs="Arial"/>
          <w:szCs w:val="20"/>
          <w:lang w:val="en-US"/>
        </w:rPr>
        <w:footnoteReference w:id="7"/>
      </w:r>
    </w:p>
    <w:p w:rsidR="00165722" w:rsidRPr="00987C7F" w:rsidRDefault="00165722" w:rsidP="00004DED">
      <w:pPr>
        <w:numPr>
          <w:ilvl w:val="0"/>
          <w:numId w:val="14"/>
        </w:numPr>
        <w:rPr>
          <w:rFonts w:cs="Arial"/>
          <w:szCs w:val="20"/>
        </w:rPr>
      </w:pPr>
      <w:r w:rsidRPr="00987C7F">
        <w:rPr>
          <w:rFonts w:cs="Arial"/>
          <w:bCs/>
          <w:szCs w:val="20"/>
        </w:rPr>
        <w:t>young Australians with a disability (15-29 years of age) are significantly less likely than their non-disabled peers to complete Year 12 or equivalent</w:t>
      </w:r>
      <w:r w:rsidRPr="00987C7F">
        <w:rPr>
          <w:rStyle w:val="FootnoteReference"/>
          <w:rFonts w:cs="Arial"/>
          <w:bCs/>
          <w:szCs w:val="20"/>
        </w:rPr>
        <w:footnoteReference w:id="8"/>
      </w:r>
      <w:r w:rsidRPr="00987C7F">
        <w:rPr>
          <w:rFonts w:cs="Arial"/>
          <w:bCs/>
          <w:szCs w:val="20"/>
        </w:rPr>
        <w:t xml:space="preserve"> </w:t>
      </w:r>
    </w:p>
    <w:p w:rsidR="00165722" w:rsidRPr="00987C7F" w:rsidRDefault="00165722" w:rsidP="00004DED">
      <w:pPr>
        <w:numPr>
          <w:ilvl w:val="0"/>
          <w:numId w:val="14"/>
        </w:numPr>
        <w:rPr>
          <w:rFonts w:cs="Arial"/>
          <w:szCs w:val="20"/>
        </w:rPr>
      </w:pPr>
      <w:r w:rsidRPr="00987C7F">
        <w:rPr>
          <w:rFonts w:cs="Arial"/>
          <w:bCs/>
          <w:szCs w:val="20"/>
        </w:rPr>
        <w:t xml:space="preserve">the majority of disabilities (approximately 88 </w:t>
      </w:r>
      <w:proofErr w:type="spellStart"/>
      <w:r w:rsidRPr="00987C7F">
        <w:rPr>
          <w:rFonts w:cs="Arial"/>
          <w:bCs/>
          <w:szCs w:val="20"/>
        </w:rPr>
        <w:t>percent</w:t>
      </w:r>
      <w:proofErr w:type="spellEnd"/>
      <w:r w:rsidRPr="00987C7F">
        <w:rPr>
          <w:rFonts w:cs="Arial"/>
          <w:bCs/>
          <w:szCs w:val="20"/>
        </w:rPr>
        <w:t xml:space="preserve"> are not visible)</w:t>
      </w:r>
      <w:r w:rsidRPr="00987C7F">
        <w:rPr>
          <w:rStyle w:val="FootnoteReference"/>
          <w:rFonts w:cs="Arial"/>
          <w:bCs/>
          <w:szCs w:val="20"/>
        </w:rPr>
        <w:footnoteReference w:id="9"/>
      </w:r>
    </w:p>
    <w:p w:rsidR="00165722" w:rsidRPr="00B7433C" w:rsidRDefault="00165722" w:rsidP="00B7433C">
      <w:pPr>
        <w:numPr>
          <w:ilvl w:val="0"/>
          <w:numId w:val="14"/>
        </w:numPr>
        <w:rPr>
          <w:rFonts w:cs="Arial"/>
          <w:szCs w:val="20"/>
        </w:rPr>
      </w:pPr>
      <w:r w:rsidRPr="00987C7F">
        <w:rPr>
          <w:rFonts w:cs="Arial"/>
          <w:bCs/>
          <w:szCs w:val="20"/>
        </w:rPr>
        <w:t>one in five Australians will experience a mental health problem at some point in their lives</w:t>
      </w:r>
      <w:r w:rsidRPr="00987C7F">
        <w:rPr>
          <w:rStyle w:val="FootnoteReference"/>
          <w:rFonts w:cs="Arial"/>
          <w:bCs/>
          <w:szCs w:val="20"/>
        </w:rPr>
        <w:footnoteReference w:id="10"/>
      </w:r>
    </w:p>
    <w:p w:rsidR="00165722" w:rsidRPr="00987C7F" w:rsidRDefault="00165722" w:rsidP="00B7433C">
      <w:r w:rsidRPr="00987C7F">
        <w:t xml:space="preserve">In 2011 </w:t>
      </w:r>
      <w:r w:rsidRPr="005838BE">
        <w:t xml:space="preserve">two </w:t>
      </w:r>
      <w:proofErr w:type="spellStart"/>
      <w:r w:rsidRPr="005838BE">
        <w:t>percent</w:t>
      </w:r>
      <w:proofErr w:type="spellEnd"/>
      <w:r w:rsidRPr="005838BE">
        <w:t xml:space="preserve"> of</w:t>
      </w:r>
      <w:r w:rsidRPr="00987C7F">
        <w:t xml:space="preserve"> staff</w:t>
      </w:r>
      <w:r w:rsidRPr="00987C7F">
        <w:rPr>
          <w:bCs/>
        </w:rPr>
        <w:t xml:space="preserve"> at the University identified as having a disability and </w:t>
      </w:r>
      <w:r w:rsidRPr="00987C7F">
        <w:t xml:space="preserve">0.2 </w:t>
      </w:r>
      <w:proofErr w:type="spellStart"/>
      <w:r w:rsidRPr="00614876">
        <w:t>percent</w:t>
      </w:r>
      <w:proofErr w:type="spellEnd"/>
      <w:r w:rsidRPr="00987C7F">
        <w:t xml:space="preserve"> of staff required a work-related adjustment to support them in the workplace.</w:t>
      </w:r>
    </w:p>
    <w:p w:rsidR="00165722" w:rsidRPr="00987C7F" w:rsidRDefault="00165722" w:rsidP="00B7433C">
      <w:r w:rsidRPr="00987C7F">
        <w:t xml:space="preserve">In 2012 </w:t>
      </w:r>
      <w:r w:rsidRPr="00987C7F">
        <w:rPr>
          <w:bCs/>
        </w:rPr>
        <w:t xml:space="preserve">46,944 students </w:t>
      </w:r>
      <w:r w:rsidRPr="00987C7F">
        <w:t xml:space="preserve">enrolled at the University. </w:t>
      </w:r>
      <w:r w:rsidR="00D2441A">
        <w:t>D</w:t>
      </w:r>
      <w:r w:rsidR="00D2441A" w:rsidRPr="00987C7F">
        <w:t xml:space="preserve">uring enrolment </w:t>
      </w:r>
      <w:r w:rsidR="00D2441A">
        <w:t>i</w:t>
      </w:r>
      <w:r w:rsidRPr="00987C7F">
        <w:t xml:space="preserve">n the same year 1831 students identified through the enrolment process as having a disability. In 2012 a total of </w:t>
      </w:r>
      <w:r w:rsidRPr="00987C7F">
        <w:rPr>
          <w:bCs/>
        </w:rPr>
        <w:t xml:space="preserve">1645 students were registered with disability services. </w:t>
      </w:r>
    </w:p>
    <w:p w:rsidR="00165722" w:rsidRPr="005838BE" w:rsidRDefault="00165722" w:rsidP="00B7433C">
      <w:r w:rsidRPr="005838BE">
        <w:t>It is likely that the number of staff and students with disabilities at the University is under-represented in our statistics. This may be</w:t>
      </w:r>
      <w:r w:rsidR="005C493A" w:rsidRPr="005838BE">
        <w:t xml:space="preserve"> due</w:t>
      </w:r>
      <w:r w:rsidRPr="005838BE">
        <w:t xml:space="preserve"> to the varied nature of disability, people’s openness to discuss disability and the implications around disclosure, and in addition some people may not require assistance to study or work. It is</w:t>
      </w:r>
      <w:r w:rsidRPr="00987C7F">
        <w:t xml:space="preserve"> </w:t>
      </w:r>
      <w:r w:rsidRPr="005838BE">
        <w:t xml:space="preserve">also acknowledged that the current mechanisms for capturing data on staff and students with disabilities are limited, for example staff disability statistics are primarily obtained at the commencement of employment. It is intended through this </w:t>
      </w:r>
      <w:r w:rsidR="00124307" w:rsidRPr="005838BE">
        <w:t xml:space="preserve">Disability Action Plan </w:t>
      </w:r>
      <w:r w:rsidRPr="005838BE">
        <w:t xml:space="preserve">to improve the capture of data. </w:t>
      </w:r>
    </w:p>
    <w:p w:rsidR="00023CF0" w:rsidRPr="00974300" w:rsidRDefault="00165722" w:rsidP="00974300">
      <w:r w:rsidRPr="005838BE">
        <w:t>Evidently people with disabilities make up a significant proportion of the population, and the University is committed to engaging with them. The Disability Action Plan seeks to improve access to all areas and participation in the life of the University and attract and retain talented and skilled people with disabilities to work and study here.</w:t>
      </w:r>
      <w:r w:rsidR="00023CF0">
        <w:br w:type="page"/>
      </w:r>
    </w:p>
    <w:p w:rsidR="00165722" w:rsidRPr="00B7433C" w:rsidRDefault="00165722" w:rsidP="00B7433C">
      <w:pPr>
        <w:pStyle w:val="Heading2"/>
      </w:pPr>
      <w:bookmarkStart w:id="12" w:name="_Toc357508215"/>
      <w:r w:rsidRPr="00987C7F">
        <w:lastRenderedPageBreak/>
        <w:t>Definitions</w:t>
      </w:r>
      <w:bookmarkEnd w:id="12"/>
      <w:r w:rsidRPr="00987C7F">
        <w:t xml:space="preserve"> </w:t>
      </w:r>
    </w:p>
    <w:p w:rsidR="00165722" w:rsidRPr="00B7433C" w:rsidRDefault="00165722" w:rsidP="00B7433C">
      <w:pPr>
        <w:pStyle w:val="Heading3"/>
      </w:pPr>
      <w:bookmarkStart w:id="13" w:name="_Toc356990234"/>
      <w:bookmarkStart w:id="14" w:name="_Toc356990451"/>
      <w:bookmarkStart w:id="15" w:name="_Toc356995076"/>
      <w:bookmarkStart w:id="16" w:name="_Toc356996718"/>
      <w:bookmarkStart w:id="17" w:name="_Toc356997017"/>
      <w:bookmarkStart w:id="18" w:name="_Toc357508216"/>
      <w:r w:rsidRPr="00B7433C">
        <w:t>Disability</w:t>
      </w:r>
      <w:bookmarkEnd w:id="13"/>
      <w:bookmarkEnd w:id="14"/>
      <w:bookmarkEnd w:id="15"/>
      <w:bookmarkEnd w:id="16"/>
      <w:bookmarkEnd w:id="17"/>
      <w:bookmarkEnd w:id="18"/>
    </w:p>
    <w:p w:rsidR="00165722" w:rsidRPr="00987C7F" w:rsidRDefault="00165722" w:rsidP="00165722">
      <w:pPr>
        <w:rPr>
          <w:rFonts w:cs="Arial"/>
          <w:szCs w:val="20"/>
        </w:rPr>
      </w:pPr>
      <w:r w:rsidRPr="00987C7F">
        <w:rPr>
          <w:rFonts w:cs="Arial"/>
          <w:szCs w:val="20"/>
        </w:rPr>
        <w:t xml:space="preserve">The University uses the </w:t>
      </w:r>
      <w:r w:rsidRPr="00987C7F">
        <w:rPr>
          <w:rFonts w:cs="Arial"/>
          <w:i/>
          <w:szCs w:val="20"/>
        </w:rPr>
        <w:t xml:space="preserve">International Classification of Functioning, Disability and Health (ICF) </w:t>
      </w:r>
      <w:r w:rsidRPr="00987C7F">
        <w:rPr>
          <w:rFonts w:cs="Arial"/>
          <w:szCs w:val="20"/>
        </w:rPr>
        <w:t xml:space="preserve">definition of disability. This definition represents a balanced approach to disability </w:t>
      </w:r>
      <w:r w:rsidR="00D2441A">
        <w:rPr>
          <w:rFonts w:cs="Arial"/>
          <w:szCs w:val="20"/>
        </w:rPr>
        <w:t>that</w:t>
      </w:r>
      <w:r w:rsidR="00D2441A" w:rsidRPr="00987C7F">
        <w:rPr>
          <w:rFonts w:cs="Arial"/>
          <w:szCs w:val="20"/>
        </w:rPr>
        <w:t xml:space="preserve"> </w:t>
      </w:r>
      <w:r w:rsidRPr="00987C7F">
        <w:rPr>
          <w:rFonts w:cs="Arial"/>
          <w:szCs w:val="20"/>
        </w:rPr>
        <w:t xml:space="preserve">is neither a purely medical </w:t>
      </w:r>
      <w:r w:rsidR="003E46A7">
        <w:rPr>
          <w:rFonts w:cs="Arial"/>
          <w:szCs w:val="20"/>
        </w:rPr>
        <w:t>n</w:t>
      </w:r>
      <w:r w:rsidRPr="00987C7F">
        <w:rPr>
          <w:rFonts w:cs="Arial"/>
          <w:szCs w:val="20"/>
        </w:rPr>
        <w:t>or social model but combines both. It acknowledges that people with disabilities may be impacted by their impairment</w:t>
      </w:r>
      <w:r w:rsidR="00D2441A">
        <w:rPr>
          <w:rFonts w:cs="Arial"/>
          <w:szCs w:val="20"/>
        </w:rPr>
        <w:t>,</w:t>
      </w:r>
      <w:r w:rsidRPr="00987C7F">
        <w:rPr>
          <w:rFonts w:cs="Arial"/>
          <w:szCs w:val="20"/>
        </w:rPr>
        <w:t xml:space="preserve"> but also by their environment.</w:t>
      </w:r>
    </w:p>
    <w:p w:rsidR="00165722" w:rsidRPr="00987C7F" w:rsidRDefault="00165722" w:rsidP="00165722">
      <w:pPr>
        <w:rPr>
          <w:rFonts w:cs="Arial"/>
          <w:szCs w:val="20"/>
        </w:rPr>
      </w:pPr>
      <w:r w:rsidRPr="00987C7F">
        <w:rPr>
          <w:rFonts w:cs="Arial"/>
          <w:szCs w:val="20"/>
        </w:rPr>
        <w:t>According to the World Health Organization the ICF defines disability as “an umbrella term for impairments, activity limitations and participation restrictions. Disability is the interaction between individuals with a health condition (e</w:t>
      </w:r>
      <w:r w:rsidR="00493D8A">
        <w:rPr>
          <w:rFonts w:cs="Arial"/>
          <w:szCs w:val="20"/>
        </w:rPr>
        <w:t>.</w:t>
      </w:r>
      <w:r w:rsidRPr="00987C7F">
        <w:rPr>
          <w:rFonts w:cs="Arial"/>
          <w:szCs w:val="20"/>
        </w:rPr>
        <w:t>g</w:t>
      </w:r>
      <w:r w:rsidR="00493D8A">
        <w:rPr>
          <w:rFonts w:cs="Arial"/>
          <w:szCs w:val="20"/>
        </w:rPr>
        <w:t>.</w:t>
      </w:r>
      <w:r w:rsidRPr="00987C7F">
        <w:rPr>
          <w:rFonts w:cs="Arial"/>
          <w:szCs w:val="20"/>
        </w:rPr>
        <w:t xml:space="preserve"> cerebral palsy, down syndrome and depression) and personal and environmental factors (e</w:t>
      </w:r>
      <w:r w:rsidR="00493D8A">
        <w:rPr>
          <w:rFonts w:cs="Arial"/>
          <w:szCs w:val="20"/>
        </w:rPr>
        <w:t>.</w:t>
      </w:r>
      <w:r w:rsidRPr="00987C7F">
        <w:rPr>
          <w:rFonts w:cs="Arial"/>
          <w:szCs w:val="20"/>
        </w:rPr>
        <w:t>g</w:t>
      </w:r>
      <w:r w:rsidR="00493D8A">
        <w:rPr>
          <w:rFonts w:cs="Arial"/>
          <w:szCs w:val="20"/>
        </w:rPr>
        <w:t>.</w:t>
      </w:r>
      <w:r w:rsidRPr="00987C7F">
        <w:rPr>
          <w:rFonts w:cs="Arial"/>
          <w:szCs w:val="20"/>
        </w:rPr>
        <w:t xml:space="preserve"> negative attitudes, inaccessible transportation and public buildings, and limited social supports).”</w:t>
      </w:r>
      <w:r w:rsidRPr="00987C7F">
        <w:rPr>
          <w:rStyle w:val="FootnoteReference"/>
          <w:rFonts w:cs="Arial"/>
          <w:szCs w:val="20"/>
        </w:rPr>
        <w:footnoteReference w:id="11"/>
      </w:r>
    </w:p>
    <w:p w:rsidR="00165722" w:rsidRPr="00987C7F" w:rsidRDefault="00165722" w:rsidP="00165722">
      <w:pPr>
        <w:rPr>
          <w:rFonts w:cs="Arial"/>
          <w:szCs w:val="20"/>
        </w:rPr>
      </w:pPr>
      <w:r w:rsidRPr="00987C7F">
        <w:rPr>
          <w:rFonts w:cs="Arial"/>
          <w:szCs w:val="20"/>
        </w:rPr>
        <w:t>When disability is defined as an interaction as opposed to an attribute of the person, progress can be made in improving social participation because attitudinal and environmental barriers are removed.</w:t>
      </w:r>
    </w:p>
    <w:p w:rsidR="00165722" w:rsidRPr="00B7433C" w:rsidRDefault="00165722" w:rsidP="00165722">
      <w:pPr>
        <w:rPr>
          <w:rFonts w:cs="Arial"/>
          <w:i/>
          <w:iCs/>
          <w:szCs w:val="20"/>
          <w:lang w:val="en-US"/>
        </w:rPr>
      </w:pPr>
      <w:r w:rsidRPr="00987C7F">
        <w:rPr>
          <w:rFonts w:cs="Arial"/>
          <w:szCs w:val="20"/>
          <w:lang w:val="en-US"/>
        </w:rPr>
        <w:t xml:space="preserve">Similarly, the definition of ‘disability’ is described by the </w:t>
      </w:r>
      <w:r w:rsidRPr="00987C7F">
        <w:rPr>
          <w:rFonts w:cs="Arial"/>
          <w:i/>
          <w:iCs/>
          <w:szCs w:val="20"/>
          <w:lang w:val="en-US"/>
        </w:rPr>
        <w:t xml:space="preserve">Convention on the Rights of Persons with Disabilities </w:t>
      </w:r>
      <w:r w:rsidRPr="00987C7F">
        <w:rPr>
          <w:rFonts w:cs="Arial"/>
          <w:szCs w:val="20"/>
          <w:lang w:val="en-US"/>
        </w:rPr>
        <w:t>as an “</w:t>
      </w:r>
      <w:r w:rsidRPr="00987C7F">
        <w:rPr>
          <w:rFonts w:cs="Arial"/>
          <w:iCs/>
          <w:szCs w:val="20"/>
          <w:lang w:val="en-US"/>
        </w:rPr>
        <w:t>evolving concept and that disability results from the interaction between persons with impairments and attitudinal and environmental barriers that hinder their full and effective participation in society on an equal basis with others”</w:t>
      </w:r>
      <w:r w:rsidRPr="00987C7F">
        <w:rPr>
          <w:rFonts w:cs="Arial"/>
          <w:i/>
          <w:iCs/>
          <w:szCs w:val="20"/>
          <w:lang w:val="en-US"/>
        </w:rPr>
        <w:t>.</w:t>
      </w:r>
      <w:r w:rsidRPr="00987C7F">
        <w:rPr>
          <w:rStyle w:val="FootnoteReference"/>
          <w:rFonts w:cs="Arial"/>
          <w:i/>
          <w:iCs/>
          <w:szCs w:val="20"/>
          <w:lang w:val="en-US"/>
        </w:rPr>
        <w:footnoteReference w:id="12"/>
      </w:r>
    </w:p>
    <w:p w:rsidR="00165722" w:rsidRPr="00987C7F" w:rsidRDefault="00165722" w:rsidP="00165722">
      <w:pPr>
        <w:rPr>
          <w:rFonts w:cs="Arial"/>
          <w:szCs w:val="20"/>
          <w:shd w:val="clear" w:color="auto" w:fill="FFFFFF"/>
        </w:rPr>
      </w:pPr>
      <w:r w:rsidRPr="00987C7F">
        <w:rPr>
          <w:rFonts w:cs="Arial"/>
          <w:szCs w:val="20"/>
        </w:rPr>
        <w:t>Defining disability in the above way</w:t>
      </w:r>
      <w:r w:rsidRPr="00987C7F">
        <w:rPr>
          <w:rFonts w:cs="Arial"/>
          <w:szCs w:val="20"/>
          <w:shd w:val="clear" w:color="auto" w:fill="FFFFFF"/>
        </w:rPr>
        <w:t xml:space="preserve"> recognises that anyone can experience a decline in health and thereby experience some degree of disability. It recognises disability as part of the human experience, not something which is isolated to a minority group. It shifts the focus to functioning and how this might be affected by a range of contextual factors, including a person’s environment. </w:t>
      </w:r>
    </w:p>
    <w:p w:rsidR="00165722" w:rsidRPr="005838BE" w:rsidRDefault="00165722" w:rsidP="00165722">
      <w:pPr>
        <w:rPr>
          <w:rFonts w:cs="Arial"/>
          <w:szCs w:val="20"/>
          <w:shd w:val="clear" w:color="auto" w:fill="FFFFFF"/>
          <w:lang w:val="en-US"/>
        </w:rPr>
      </w:pPr>
      <w:r w:rsidRPr="005838BE">
        <w:rPr>
          <w:rFonts w:cs="Arial"/>
          <w:szCs w:val="20"/>
          <w:shd w:val="clear" w:color="auto" w:fill="FFFFFF"/>
          <w:lang w:val="en-US"/>
        </w:rPr>
        <w:t>The understanding of disability has changed significantly over the past severa</w:t>
      </w:r>
      <w:r w:rsidR="005C493A" w:rsidRPr="005838BE">
        <w:rPr>
          <w:rFonts w:cs="Arial"/>
          <w:szCs w:val="20"/>
          <w:shd w:val="clear" w:color="auto" w:fill="FFFFFF"/>
          <w:lang w:val="en-US"/>
        </w:rPr>
        <w:t>l decades.</w:t>
      </w:r>
      <w:r w:rsidRPr="005838BE">
        <w:rPr>
          <w:rFonts w:cs="Arial"/>
          <w:szCs w:val="20"/>
          <w:shd w:val="clear" w:color="auto" w:fill="FFFFFF"/>
          <w:lang w:val="en-US"/>
        </w:rPr>
        <w:t xml:space="preserve"> However, the most important change in the understanding of disability is </w:t>
      </w:r>
      <w:proofErr w:type="spellStart"/>
      <w:r w:rsidRPr="005838BE">
        <w:rPr>
          <w:rFonts w:cs="Arial"/>
          <w:szCs w:val="20"/>
          <w:shd w:val="clear" w:color="auto" w:fill="FFFFFF"/>
          <w:lang w:val="en-US"/>
        </w:rPr>
        <w:t>recognising</w:t>
      </w:r>
      <w:proofErr w:type="spellEnd"/>
      <w:r w:rsidRPr="005838BE">
        <w:rPr>
          <w:rFonts w:cs="Arial"/>
          <w:szCs w:val="20"/>
          <w:shd w:val="clear" w:color="auto" w:fill="FFFFFF"/>
          <w:lang w:val="en-US"/>
        </w:rPr>
        <w:t xml:space="preserve"> that the lives of people with disabilities are usually far more limited by existing social, cultural, and economic constraints than by specific physical, sensory, psychological or intellectual impairments.</w:t>
      </w:r>
      <w:r w:rsidRPr="005838BE">
        <w:rPr>
          <w:rStyle w:val="FootnoteReference"/>
          <w:rFonts w:cs="Arial"/>
          <w:szCs w:val="20"/>
          <w:shd w:val="clear" w:color="auto" w:fill="FFFFFF"/>
          <w:lang w:val="en-US"/>
        </w:rPr>
        <w:footnoteReference w:id="13"/>
      </w:r>
    </w:p>
    <w:p w:rsidR="005C493A" w:rsidRPr="005838BE" w:rsidRDefault="00165722" w:rsidP="00165722">
      <w:pPr>
        <w:rPr>
          <w:rFonts w:cs="Arial"/>
          <w:szCs w:val="20"/>
          <w:shd w:val="clear" w:color="auto" w:fill="FFFFFF"/>
          <w:lang w:val="en-US"/>
        </w:rPr>
      </w:pPr>
      <w:r w:rsidRPr="005838BE">
        <w:rPr>
          <w:rFonts w:cs="Arial"/>
          <w:szCs w:val="20"/>
          <w:shd w:val="clear" w:color="auto" w:fill="FFFFFF"/>
          <w:lang w:val="en-US"/>
        </w:rPr>
        <w:t xml:space="preserve">Further, disability is a dynamic concept and considered to be </w:t>
      </w:r>
      <w:r w:rsidRPr="005838BE">
        <w:rPr>
          <w:szCs w:val="20"/>
        </w:rPr>
        <w:t>any condition that restricts a person’s mental, sensory or mobility functions. It could be caused by accident</w:t>
      </w:r>
      <w:r w:rsidR="005C493A" w:rsidRPr="005838BE">
        <w:rPr>
          <w:szCs w:val="20"/>
        </w:rPr>
        <w:t xml:space="preserve">, trauma, genetics or disease. </w:t>
      </w:r>
      <w:r w:rsidRPr="005838BE">
        <w:rPr>
          <w:szCs w:val="20"/>
        </w:rPr>
        <w:t>A disability may be temporary or permanent, total or partial, lifelong or acquired, and visible or invisible.</w:t>
      </w:r>
      <w:r w:rsidR="00A468C2" w:rsidRPr="005838BE">
        <w:rPr>
          <w:rFonts w:cs="Arial"/>
          <w:szCs w:val="20"/>
          <w:shd w:val="clear" w:color="auto" w:fill="FFFFFF"/>
          <w:lang w:val="en-US"/>
        </w:rPr>
        <w:t xml:space="preserve"> </w:t>
      </w:r>
    </w:p>
    <w:p w:rsidR="00165722" w:rsidRPr="005838BE" w:rsidRDefault="00165722" w:rsidP="00165722">
      <w:pPr>
        <w:shd w:val="clear" w:color="auto" w:fill="FFFFFF"/>
        <w:spacing w:line="190" w:lineRule="atLeast"/>
        <w:rPr>
          <w:rFonts w:cs="Arial"/>
          <w:szCs w:val="20"/>
        </w:rPr>
      </w:pPr>
      <w:r w:rsidRPr="005838BE">
        <w:rPr>
          <w:rFonts w:cs="Arial"/>
          <w:szCs w:val="20"/>
        </w:rPr>
        <w:t>“The breadth of impairments and medical conditions covered by the Commonwealth Disability Discrimination Act (1992) include:</w:t>
      </w:r>
    </w:p>
    <w:p w:rsidR="00165722" w:rsidRPr="005838BE" w:rsidRDefault="00165722" w:rsidP="00004DED">
      <w:pPr>
        <w:numPr>
          <w:ilvl w:val="0"/>
          <w:numId w:val="13"/>
        </w:numPr>
        <w:shd w:val="clear" w:color="auto" w:fill="FFFFFF"/>
        <w:spacing w:line="190" w:lineRule="atLeast"/>
        <w:ind w:left="480" w:right="240"/>
        <w:rPr>
          <w:rFonts w:cs="Arial"/>
          <w:szCs w:val="20"/>
        </w:rPr>
      </w:pPr>
      <w:r w:rsidRPr="005838BE">
        <w:rPr>
          <w:rFonts w:cs="Arial"/>
          <w:szCs w:val="20"/>
        </w:rPr>
        <w:lastRenderedPageBreak/>
        <w:t xml:space="preserve">Physical </w:t>
      </w:r>
      <w:r w:rsidR="00726B48" w:rsidRPr="005838BE">
        <w:rPr>
          <w:rFonts w:cs="Arial"/>
          <w:szCs w:val="20"/>
        </w:rPr>
        <w:t xml:space="preserve">– </w:t>
      </w:r>
      <w:r w:rsidRPr="005838BE">
        <w:rPr>
          <w:rFonts w:cs="Arial"/>
          <w:szCs w:val="20"/>
        </w:rPr>
        <w:t>affects a person's mobility or dexterity</w:t>
      </w:r>
    </w:p>
    <w:p w:rsidR="00165722" w:rsidRPr="005838BE" w:rsidRDefault="00165722" w:rsidP="00004DED">
      <w:pPr>
        <w:numPr>
          <w:ilvl w:val="0"/>
          <w:numId w:val="13"/>
        </w:numPr>
        <w:shd w:val="clear" w:color="auto" w:fill="FFFFFF"/>
        <w:spacing w:line="190" w:lineRule="atLeast"/>
        <w:ind w:left="480" w:right="240"/>
        <w:rPr>
          <w:rFonts w:cs="Arial"/>
          <w:szCs w:val="20"/>
        </w:rPr>
      </w:pPr>
      <w:r w:rsidRPr="005838BE">
        <w:rPr>
          <w:rFonts w:cs="Arial"/>
          <w:szCs w:val="20"/>
        </w:rPr>
        <w:t xml:space="preserve">Intellectual </w:t>
      </w:r>
      <w:r w:rsidR="00726B48" w:rsidRPr="005838BE">
        <w:rPr>
          <w:rFonts w:cs="Arial"/>
          <w:szCs w:val="20"/>
        </w:rPr>
        <w:t xml:space="preserve">– </w:t>
      </w:r>
      <w:r w:rsidRPr="005838BE">
        <w:rPr>
          <w:rFonts w:cs="Arial"/>
          <w:szCs w:val="20"/>
        </w:rPr>
        <w:t>affects a person's abilities to learn</w:t>
      </w:r>
    </w:p>
    <w:p w:rsidR="00165722" w:rsidRPr="005838BE" w:rsidRDefault="00165722" w:rsidP="00004DED">
      <w:pPr>
        <w:numPr>
          <w:ilvl w:val="0"/>
          <w:numId w:val="13"/>
        </w:numPr>
        <w:shd w:val="clear" w:color="auto" w:fill="FFFFFF"/>
        <w:spacing w:line="190" w:lineRule="atLeast"/>
        <w:ind w:left="480" w:right="240"/>
        <w:rPr>
          <w:rFonts w:cs="Arial"/>
          <w:szCs w:val="20"/>
        </w:rPr>
      </w:pPr>
      <w:r w:rsidRPr="005838BE">
        <w:rPr>
          <w:rFonts w:cs="Arial"/>
          <w:szCs w:val="20"/>
        </w:rPr>
        <w:t xml:space="preserve">Mental </w:t>
      </w:r>
      <w:r w:rsidR="00726B48" w:rsidRPr="005838BE">
        <w:rPr>
          <w:rFonts w:cs="Arial"/>
          <w:szCs w:val="20"/>
        </w:rPr>
        <w:t>i</w:t>
      </w:r>
      <w:r w:rsidRPr="005838BE">
        <w:rPr>
          <w:rFonts w:cs="Arial"/>
          <w:szCs w:val="20"/>
        </w:rPr>
        <w:t xml:space="preserve">llness </w:t>
      </w:r>
      <w:r w:rsidR="00726B48" w:rsidRPr="005838BE">
        <w:rPr>
          <w:rFonts w:cs="Arial"/>
          <w:szCs w:val="20"/>
        </w:rPr>
        <w:t>–</w:t>
      </w:r>
      <w:r w:rsidRPr="005838BE">
        <w:rPr>
          <w:rFonts w:cs="Arial"/>
          <w:szCs w:val="20"/>
        </w:rPr>
        <w:t xml:space="preserve"> affects a person's thinking processes</w:t>
      </w:r>
    </w:p>
    <w:p w:rsidR="00165722" w:rsidRPr="005838BE" w:rsidRDefault="00165722" w:rsidP="00004DED">
      <w:pPr>
        <w:numPr>
          <w:ilvl w:val="0"/>
          <w:numId w:val="13"/>
        </w:numPr>
        <w:shd w:val="clear" w:color="auto" w:fill="FFFFFF"/>
        <w:spacing w:line="190" w:lineRule="atLeast"/>
        <w:ind w:left="480" w:right="240"/>
        <w:rPr>
          <w:rFonts w:cs="Arial"/>
          <w:szCs w:val="20"/>
        </w:rPr>
      </w:pPr>
      <w:r w:rsidRPr="005838BE">
        <w:rPr>
          <w:rFonts w:cs="Arial"/>
          <w:szCs w:val="20"/>
        </w:rPr>
        <w:t xml:space="preserve">Sensory </w:t>
      </w:r>
      <w:r w:rsidR="00726B48" w:rsidRPr="005838BE">
        <w:rPr>
          <w:rFonts w:cs="Arial"/>
          <w:szCs w:val="20"/>
        </w:rPr>
        <w:t>–</w:t>
      </w:r>
      <w:r w:rsidRPr="005838BE">
        <w:rPr>
          <w:rFonts w:cs="Arial"/>
          <w:szCs w:val="20"/>
        </w:rPr>
        <w:t xml:space="preserve"> affects a person's ability to hear or see</w:t>
      </w:r>
    </w:p>
    <w:p w:rsidR="00165722" w:rsidRPr="005838BE" w:rsidRDefault="00165722" w:rsidP="00004DED">
      <w:pPr>
        <w:numPr>
          <w:ilvl w:val="0"/>
          <w:numId w:val="13"/>
        </w:numPr>
        <w:shd w:val="clear" w:color="auto" w:fill="FFFFFF"/>
        <w:spacing w:line="190" w:lineRule="atLeast"/>
        <w:ind w:left="480" w:right="240"/>
        <w:rPr>
          <w:rFonts w:cs="Arial"/>
          <w:szCs w:val="20"/>
        </w:rPr>
      </w:pPr>
      <w:r w:rsidRPr="005838BE">
        <w:rPr>
          <w:rFonts w:cs="Arial"/>
          <w:szCs w:val="20"/>
        </w:rPr>
        <w:t>Neurological – affects the person’s brain and central nervous system,</w:t>
      </w:r>
    </w:p>
    <w:p w:rsidR="00165722" w:rsidRPr="005838BE" w:rsidRDefault="00165722" w:rsidP="00004DED">
      <w:pPr>
        <w:numPr>
          <w:ilvl w:val="0"/>
          <w:numId w:val="13"/>
        </w:numPr>
        <w:shd w:val="clear" w:color="auto" w:fill="FFFFFF"/>
        <w:spacing w:line="190" w:lineRule="atLeast"/>
        <w:ind w:left="480" w:right="240"/>
        <w:rPr>
          <w:rFonts w:cs="Arial"/>
          <w:szCs w:val="20"/>
        </w:rPr>
      </w:pPr>
      <w:r w:rsidRPr="005838BE">
        <w:rPr>
          <w:rFonts w:cs="Arial"/>
          <w:szCs w:val="20"/>
        </w:rPr>
        <w:t>Learning disability</w:t>
      </w:r>
    </w:p>
    <w:p w:rsidR="00165722" w:rsidRPr="005838BE" w:rsidRDefault="00165722" w:rsidP="00004DED">
      <w:pPr>
        <w:numPr>
          <w:ilvl w:val="0"/>
          <w:numId w:val="13"/>
        </w:numPr>
        <w:shd w:val="clear" w:color="auto" w:fill="FFFFFF"/>
        <w:spacing w:line="190" w:lineRule="atLeast"/>
        <w:ind w:left="480" w:right="240"/>
        <w:rPr>
          <w:rFonts w:cs="Arial"/>
          <w:szCs w:val="20"/>
        </w:rPr>
      </w:pPr>
      <w:r w:rsidRPr="005838BE">
        <w:rPr>
          <w:rFonts w:cs="Arial"/>
          <w:szCs w:val="20"/>
        </w:rPr>
        <w:t>Physical disfigurement or</w:t>
      </w:r>
    </w:p>
    <w:p w:rsidR="00165722" w:rsidRPr="00B7433C" w:rsidRDefault="00165722" w:rsidP="00165722">
      <w:pPr>
        <w:numPr>
          <w:ilvl w:val="0"/>
          <w:numId w:val="13"/>
        </w:numPr>
        <w:shd w:val="clear" w:color="auto" w:fill="FFFFFF"/>
        <w:spacing w:line="190" w:lineRule="atLeast"/>
        <w:ind w:left="480" w:right="240"/>
        <w:rPr>
          <w:rFonts w:cs="Arial"/>
          <w:szCs w:val="20"/>
        </w:rPr>
      </w:pPr>
      <w:r w:rsidRPr="005838BE">
        <w:rPr>
          <w:rFonts w:cs="Arial"/>
          <w:szCs w:val="20"/>
        </w:rPr>
        <w:t xml:space="preserve">Immunological </w:t>
      </w:r>
      <w:r w:rsidR="00726B48" w:rsidRPr="005838BE">
        <w:rPr>
          <w:rFonts w:cs="Arial"/>
          <w:szCs w:val="20"/>
        </w:rPr>
        <w:t xml:space="preserve">– </w:t>
      </w:r>
      <w:r w:rsidRPr="005838BE">
        <w:rPr>
          <w:rFonts w:cs="Arial"/>
          <w:szCs w:val="20"/>
        </w:rPr>
        <w:t>the presence of organisms causing disease in the body”</w:t>
      </w:r>
      <w:r w:rsidRPr="005838BE">
        <w:rPr>
          <w:rStyle w:val="FootnoteReference"/>
          <w:rFonts w:cs="Arial"/>
          <w:szCs w:val="20"/>
        </w:rPr>
        <w:footnoteReference w:id="14"/>
      </w:r>
    </w:p>
    <w:p w:rsidR="00165722" w:rsidRPr="00987C7F" w:rsidRDefault="00165722" w:rsidP="00B7433C">
      <w:pPr>
        <w:pStyle w:val="Heading2"/>
      </w:pPr>
      <w:bookmarkStart w:id="19" w:name="_Toc357508217"/>
      <w:r w:rsidRPr="00987C7F">
        <w:t>Legislative and strategic Framework</w:t>
      </w:r>
      <w:bookmarkEnd w:id="19"/>
    </w:p>
    <w:p w:rsidR="00165722" w:rsidRPr="00987C7F" w:rsidRDefault="00165722" w:rsidP="00165722">
      <w:pPr>
        <w:rPr>
          <w:rFonts w:cs="Arial"/>
          <w:szCs w:val="20"/>
          <w:lang w:val="en-US"/>
        </w:rPr>
      </w:pPr>
      <w:r w:rsidRPr="00987C7F">
        <w:rPr>
          <w:rFonts w:cs="Arial"/>
          <w:szCs w:val="20"/>
          <w:lang w:val="en-US"/>
        </w:rPr>
        <w:t xml:space="preserve">A Disability Action Plan is designed to eliminate discrimination in an active way to improve access on all levels to the University for students and staff with disabilities. It ensures the University meets its legislative and strategic requirements and identifies areas for improvement in a phased, coordinated and responsible approach. Once complete, the Disability Action Plan will be lodged with the Australian Human Rights Commission pursuant to section 67 of the </w:t>
      </w:r>
      <w:r w:rsidRPr="00987C7F">
        <w:rPr>
          <w:rFonts w:cs="Arial"/>
          <w:i/>
          <w:szCs w:val="20"/>
          <w:lang w:val="en-US"/>
        </w:rPr>
        <w:t>Disability Discrimination Act</w:t>
      </w:r>
      <w:r w:rsidRPr="00987C7F">
        <w:rPr>
          <w:rFonts w:cs="Arial"/>
          <w:szCs w:val="20"/>
          <w:lang w:val="en-US"/>
        </w:rPr>
        <w:t>.</w:t>
      </w:r>
    </w:p>
    <w:p w:rsidR="00165722" w:rsidRPr="00B7433C" w:rsidRDefault="00165722" w:rsidP="00165722">
      <w:pPr>
        <w:rPr>
          <w:rFonts w:cs="Arial"/>
          <w:bCs/>
          <w:szCs w:val="20"/>
        </w:rPr>
      </w:pPr>
      <w:r w:rsidRPr="00987C7F">
        <w:rPr>
          <w:rFonts w:cs="Arial"/>
          <w:bCs/>
          <w:szCs w:val="20"/>
        </w:rPr>
        <w:t xml:space="preserve">This Disability Action Plan has been developed within the bounds of the following legislation and guidelines: </w:t>
      </w:r>
    </w:p>
    <w:p w:rsidR="00165722" w:rsidRPr="00B7433C" w:rsidRDefault="00165722" w:rsidP="00B7433C">
      <w:pPr>
        <w:pStyle w:val="Heading4"/>
      </w:pPr>
      <w:r w:rsidRPr="00B7433C">
        <w:t>Convention on the Rights of Persons with Disabilities 2006</w:t>
      </w:r>
    </w:p>
    <w:p w:rsidR="00165722" w:rsidRPr="00987C7F" w:rsidRDefault="00165722" w:rsidP="00165722">
      <w:pPr>
        <w:rPr>
          <w:rFonts w:cs="Arial"/>
          <w:bCs/>
          <w:szCs w:val="20"/>
          <w:lang w:val="en-US"/>
        </w:rPr>
      </w:pPr>
      <w:r w:rsidRPr="00987C7F">
        <w:rPr>
          <w:rFonts w:cs="Arial"/>
          <w:bCs/>
          <w:szCs w:val="20"/>
          <w:lang w:val="en-US"/>
        </w:rPr>
        <w:t xml:space="preserve">The United Nations Convention on </w:t>
      </w:r>
      <w:r w:rsidRPr="00987C7F">
        <w:rPr>
          <w:rFonts w:cs="Arial"/>
          <w:bCs/>
          <w:szCs w:val="20"/>
        </w:rPr>
        <w:t>the Rights of Persons with Disabilities (CRPD)</w:t>
      </w:r>
      <w:r w:rsidRPr="00987C7F">
        <w:rPr>
          <w:rFonts w:cs="Arial"/>
          <w:bCs/>
          <w:szCs w:val="20"/>
          <w:lang w:val="en-US"/>
        </w:rPr>
        <w:t xml:space="preserve"> was adopted by the United Nations in 2006 and ratified by Australia in 2008. “The purpose of the present convention is to promote, protect and ensure the full and equal enjoyment of all human rights and fundamental freedoms by all persons with disabilities, and to promote respect for their inherent dignity.” Article 24, Article 27 and Article 30 relate to education; work and employment and participation in cultural life, recreation, leisure and sport respectively. It commits signatories to provide access to and eliminate discrimination based on ones disability to education, employment and community life. </w:t>
      </w:r>
    </w:p>
    <w:p w:rsidR="00165722" w:rsidRPr="00987C7F" w:rsidRDefault="00165722" w:rsidP="00165722">
      <w:pPr>
        <w:rPr>
          <w:rFonts w:cs="Arial"/>
          <w:bCs/>
          <w:szCs w:val="20"/>
          <w:lang w:val="en-US"/>
        </w:rPr>
      </w:pPr>
      <w:r w:rsidRPr="00987C7F">
        <w:rPr>
          <w:rFonts w:cs="Arial"/>
          <w:bCs/>
          <w:szCs w:val="20"/>
          <w:lang w:val="en-US"/>
        </w:rPr>
        <w:t xml:space="preserve">Australia is a signatory to both the convention and the optional protocol, which enables Australians to make complaints to the United Nations Disabilities Committee if all domestic remedies have been exhausted. Under section 47 of the Australian Human Rights Commission Act 1986, the Government has declared the CRPD to be an international instrument. According to section 11 (1) (f) of the Act the Commission may conciliate the breach of any human right. </w:t>
      </w:r>
    </w:p>
    <w:p w:rsidR="00165722" w:rsidRPr="00987C7F" w:rsidRDefault="00165722" w:rsidP="00165722">
      <w:pPr>
        <w:rPr>
          <w:rFonts w:cs="Arial"/>
          <w:bCs/>
          <w:szCs w:val="20"/>
        </w:rPr>
      </w:pPr>
      <w:r w:rsidRPr="005838BE">
        <w:rPr>
          <w:rFonts w:cs="Arial"/>
          <w:bCs/>
          <w:szCs w:val="20"/>
          <w:lang w:val="en-US"/>
        </w:rPr>
        <w:t xml:space="preserve">However, the </w:t>
      </w:r>
      <w:r w:rsidRPr="005838BE">
        <w:rPr>
          <w:rFonts w:cs="Arial"/>
          <w:bCs/>
          <w:i/>
          <w:szCs w:val="20"/>
          <w:lang w:val="en-US"/>
        </w:rPr>
        <w:t xml:space="preserve">Disability Rights Now </w:t>
      </w:r>
      <w:r w:rsidR="00D65B22" w:rsidRPr="005838BE">
        <w:rPr>
          <w:rFonts w:cs="Arial"/>
          <w:bCs/>
          <w:i/>
          <w:szCs w:val="20"/>
          <w:lang w:val="en-US"/>
        </w:rPr>
        <w:t xml:space="preserve">– </w:t>
      </w:r>
      <w:r w:rsidRPr="005838BE">
        <w:rPr>
          <w:rFonts w:cs="Arial"/>
          <w:bCs/>
          <w:i/>
          <w:szCs w:val="20"/>
          <w:lang w:val="en-US"/>
        </w:rPr>
        <w:t>Civil Society Report to the CRPD (2012)</w:t>
      </w:r>
      <w:r w:rsidRPr="005838BE">
        <w:rPr>
          <w:rFonts w:cs="Arial"/>
          <w:bCs/>
          <w:szCs w:val="20"/>
          <w:lang w:val="en-US"/>
        </w:rPr>
        <w:t xml:space="preserve"> highlights that “Australia has failed to effectively involve people with disabilities and their </w:t>
      </w:r>
      <w:proofErr w:type="spellStart"/>
      <w:r w:rsidRPr="005838BE">
        <w:rPr>
          <w:rFonts w:cs="Arial"/>
          <w:bCs/>
          <w:szCs w:val="20"/>
          <w:lang w:val="en-US"/>
        </w:rPr>
        <w:t>organisations</w:t>
      </w:r>
      <w:proofErr w:type="spellEnd"/>
      <w:r w:rsidRPr="005838BE">
        <w:rPr>
          <w:rFonts w:cs="Arial"/>
          <w:bCs/>
          <w:szCs w:val="20"/>
          <w:lang w:val="en-US"/>
        </w:rPr>
        <w:t xml:space="preserve"> at all stages of planning, </w:t>
      </w:r>
      <w:r w:rsidRPr="005838BE">
        <w:rPr>
          <w:rFonts w:cs="Arial"/>
          <w:bCs/>
          <w:szCs w:val="20"/>
          <w:lang w:val="en-US"/>
        </w:rPr>
        <w:lastRenderedPageBreak/>
        <w:t>implementation and monitoring the implementation of the CRPD”</w:t>
      </w:r>
      <w:r w:rsidR="00726B48" w:rsidRPr="005838BE">
        <w:rPr>
          <w:rFonts w:cs="Arial"/>
          <w:bCs/>
          <w:szCs w:val="20"/>
          <w:lang w:val="en-US"/>
        </w:rPr>
        <w:t>.</w:t>
      </w:r>
      <w:r w:rsidRPr="005838BE">
        <w:rPr>
          <w:rFonts w:cs="Arial"/>
          <w:bCs/>
          <w:szCs w:val="20"/>
          <w:lang w:val="en-US"/>
        </w:rPr>
        <w:t xml:space="preserve"> The report’s recommendations include that Australia must properly engage people with disabilities and their representative </w:t>
      </w:r>
      <w:proofErr w:type="spellStart"/>
      <w:r w:rsidRPr="005838BE">
        <w:rPr>
          <w:rFonts w:cs="Arial"/>
          <w:bCs/>
          <w:szCs w:val="20"/>
          <w:lang w:val="en-US"/>
        </w:rPr>
        <w:t>organisations</w:t>
      </w:r>
      <w:proofErr w:type="spellEnd"/>
      <w:r w:rsidRPr="005838BE">
        <w:rPr>
          <w:rFonts w:cs="Arial"/>
          <w:bCs/>
          <w:szCs w:val="20"/>
          <w:lang w:val="en-US"/>
        </w:rPr>
        <w:t xml:space="preserve"> to participate in the development, implementation and review of all legislation, policies, practices and allocation of resources.</w:t>
      </w:r>
      <w:r w:rsidR="00D65B22" w:rsidRPr="005838BE">
        <w:rPr>
          <w:rStyle w:val="FootnoteReference"/>
          <w:rFonts w:cs="Arial"/>
          <w:bCs/>
          <w:szCs w:val="20"/>
          <w:lang w:val="en-US"/>
        </w:rPr>
        <w:footnoteReference w:id="15"/>
      </w:r>
    </w:p>
    <w:p w:rsidR="00165722" w:rsidRPr="00B7433C" w:rsidRDefault="00165722" w:rsidP="00B7433C">
      <w:pPr>
        <w:pStyle w:val="Heading4"/>
      </w:pPr>
      <w:r w:rsidRPr="00987C7F">
        <w:t xml:space="preserve">Disability Discrimination Act 1992 (Cth) </w:t>
      </w:r>
    </w:p>
    <w:p w:rsidR="00165722" w:rsidRPr="00987C7F" w:rsidRDefault="00165722" w:rsidP="00165722">
      <w:pPr>
        <w:rPr>
          <w:rFonts w:cs="Arial"/>
          <w:bCs/>
          <w:szCs w:val="20"/>
        </w:rPr>
      </w:pPr>
      <w:r w:rsidRPr="00987C7F">
        <w:rPr>
          <w:rFonts w:cs="Arial"/>
          <w:bCs/>
          <w:szCs w:val="20"/>
        </w:rPr>
        <w:t>The Disability Discrimination Act</w:t>
      </w:r>
      <w:r w:rsidRPr="00987C7F">
        <w:rPr>
          <w:rFonts w:cs="Arial"/>
          <w:bCs/>
          <w:i/>
          <w:szCs w:val="20"/>
        </w:rPr>
        <w:t xml:space="preserve"> </w:t>
      </w:r>
      <w:r w:rsidRPr="00987C7F">
        <w:rPr>
          <w:rFonts w:cs="Arial"/>
          <w:bCs/>
          <w:szCs w:val="20"/>
        </w:rPr>
        <w:t>has the following aims.</w:t>
      </w:r>
    </w:p>
    <w:p w:rsidR="00165722" w:rsidRPr="00987C7F" w:rsidRDefault="00165722" w:rsidP="00004DED">
      <w:pPr>
        <w:pStyle w:val="ColorfulList-Accent11"/>
        <w:numPr>
          <w:ilvl w:val="0"/>
          <w:numId w:val="9"/>
        </w:numPr>
        <w:rPr>
          <w:rFonts w:cs="Arial"/>
          <w:szCs w:val="20"/>
        </w:rPr>
      </w:pPr>
      <w:r w:rsidRPr="00987C7F">
        <w:rPr>
          <w:rFonts w:cs="Arial"/>
          <w:szCs w:val="20"/>
        </w:rPr>
        <w:t>“Eliminate discrimination against persons on the ground of disability in all areas of life including</w:t>
      </w:r>
    </w:p>
    <w:p w:rsidR="00165722" w:rsidRPr="00987C7F" w:rsidRDefault="00165722" w:rsidP="00165722">
      <w:pPr>
        <w:pStyle w:val="ColorfulList-Accent11"/>
        <w:rPr>
          <w:rFonts w:cs="Arial"/>
          <w:szCs w:val="20"/>
        </w:rPr>
      </w:pPr>
      <w:proofErr w:type="gramStart"/>
      <w:r w:rsidRPr="00987C7F">
        <w:rPr>
          <w:rFonts w:cs="Arial"/>
          <w:szCs w:val="20"/>
        </w:rPr>
        <w:t>education</w:t>
      </w:r>
      <w:proofErr w:type="gramEnd"/>
      <w:r w:rsidRPr="00987C7F">
        <w:rPr>
          <w:rFonts w:cs="Arial"/>
          <w:szCs w:val="20"/>
        </w:rPr>
        <w:t xml:space="preserve">, employment, access to premises, accommodation and in the provision of services, goods and facilities. </w:t>
      </w:r>
    </w:p>
    <w:p w:rsidR="00165722" w:rsidRPr="001D6FD7" w:rsidRDefault="00165722" w:rsidP="001D6FD7">
      <w:pPr>
        <w:pStyle w:val="ColorfulList-Accent11"/>
        <w:numPr>
          <w:ilvl w:val="0"/>
          <w:numId w:val="9"/>
        </w:numPr>
        <w:rPr>
          <w:rFonts w:cs="Arial"/>
          <w:szCs w:val="20"/>
        </w:rPr>
      </w:pPr>
      <w:r w:rsidRPr="001D6FD7">
        <w:rPr>
          <w:rFonts w:cs="Arial"/>
          <w:szCs w:val="20"/>
        </w:rPr>
        <w:t>Ensure, as far as practicable, that persons with disabilities have the same rights to equality before the law as the rest of the community.</w:t>
      </w:r>
    </w:p>
    <w:p w:rsidR="00165722" w:rsidRPr="001D6FD7" w:rsidRDefault="00165722" w:rsidP="001D6FD7">
      <w:pPr>
        <w:pStyle w:val="ColorfulList-Accent11"/>
        <w:numPr>
          <w:ilvl w:val="0"/>
          <w:numId w:val="9"/>
        </w:numPr>
        <w:rPr>
          <w:rFonts w:cs="Arial"/>
          <w:szCs w:val="20"/>
        </w:rPr>
      </w:pPr>
      <w:r w:rsidRPr="001D6FD7">
        <w:rPr>
          <w:rFonts w:cs="Arial"/>
          <w:szCs w:val="20"/>
        </w:rPr>
        <w:t>Promote recognition and acceptance within the community of the principle that persons with disabilities have the same fundam</w:t>
      </w:r>
      <w:bookmarkStart w:id="20" w:name="_GoBack"/>
      <w:bookmarkEnd w:id="20"/>
      <w:r w:rsidRPr="001D6FD7">
        <w:rPr>
          <w:rFonts w:cs="Arial"/>
          <w:szCs w:val="20"/>
        </w:rPr>
        <w:t>ental rights as the rest of the community.”</w:t>
      </w:r>
    </w:p>
    <w:p w:rsidR="00165722" w:rsidRPr="00987C7F" w:rsidRDefault="00165722" w:rsidP="00165722">
      <w:pPr>
        <w:rPr>
          <w:rFonts w:cs="Arial"/>
          <w:bCs/>
          <w:szCs w:val="20"/>
          <w:highlight w:val="yellow"/>
        </w:rPr>
      </w:pPr>
      <w:r w:rsidRPr="00987C7F">
        <w:rPr>
          <w:rFonts w:cs="Arial"/>
          <w:bCs/>
          <w:szCs w:val="20"/>
        </w:rPr>
        <w:t>The Act prohibits unlawful discrimination against people with disabilities and promotes an inclusive approach whenever possible, rather than the provision of</w:t>
      </w:r>
      <w:r w:rsidR="00B7433C">
        <w:rPr>
          <w:rFonts w:cs="Arial"/>
          <w:bCs/>
          <w:szCs w:val="20"/>
        </w:rPr>
        <w:t xml:space="preserve"> separate or parallel services.</w:t>
      </w:r>
    </w:p>
    <w:p w:rsidR="00165722" w:rsidRPr="00B7433C" w:rsidRDefault="00165722" w:rsidP="00165722">
      <w:pPr>
        <w:rPr>
          <w:rFonts w:cs="Arial"/>
          <w:bCs/>
          <w:szCs w:val="20"/>
        </w:rPr>
      </w:pPr>
      <w:r w:rsidRPr="00987C7F">
        <w:rPr>
          <w:rFonts w:cs="Arial"/>
          <w:bCs/>
          <w:szCs w:val="20"/>
        </w:rPr>
        <w:t>A Disability Action Plan is a proactive approach in complying with the Act. The Act is a complaints-based (as opposed to compliance-based) legislation and developing an action plan assists the University in achieving access and inclusion for people with disabilities. It obliges the University to eliminate discrimination against people with disabilities in the following areas: employment; education; access to premises; and the provision of goods, services, accommodation and facilities.</w:t>
      </w:r>
    </w:p>
    <w:p w:rsidR="00165722" w:rsidRPr="00B7433C" w:rsidRDefault="00165722" w:rsidP="00165722">
      <w:pPr>
        <w:rPr>
          <w:rFonts w:cs="Arial"/>
          <w:i/>
          <w:caps/>
          <w:szCs w:val="20"/>
        </w:rPr>
      </w:pPr>
      <w:r w:rsidRPr="00987C7F">
        <w:rPr>
          <w:rFonts w:cs="Arial"/>
          <w:i/>
          <w:caps/>
          <w:szCs w:val="20"/>
        </w:rPr>
        <w:t>Disability Standards for Education (“THE EDUCATION STANDARDS”) 2005 and review paper 2012</w:t>
      </w:r>
    </w:p>
    <w:p w:rsidR="00165722" w:rsidRPr="00B7433C" w:rsidRDefault="00165722" w:rsidP="00165722">
      <w:pPr>
        <w:rPr>
          <w:rFonts w:cs="Arial"/>
          <w:bCs/>
          <w:szCs w:val="20"/>
        </w:rPr>
      </w:pPr>
      <w:r w:rsidRPr="00987C7F">
        <w:rPr>
          <w:rFonts w:cs="Arial"/>
          <w:bCs/>
          <w:szCs w:val="20"/>
        </w:rPr>
        <w:t xml:space="preserve">The Education Standards provide a framework from the </w:t>
      </w:r>
      <w:r w:rsidRPr="00987C7F">
        <w:rPr>
          <w:rFonts w:cs="Arial"/>
          <w:bCs/>
          <w:i/>
          <w:szCs w:val="20"/>
        </w:rPr>
        <w:t>Disability Discrimination Act 1992</w:t>
      </w:r>
      <w:r w:rsidRPr="00987C7F">
        <w:rPr>
          <w:rFonts w:cs="Arial"/>
          <w:bCs/>
          <w:szCs w:val="20"/>
        </w:rPr>
        <w:t xml:space="preserve"> (</w:t>
      </w:r>
      <w:proofErr w:type="spellStart"/>
      <w:r w:rsidRPr="00987C7F">
        <w:rPr>
          <w:rFonts w:cs="Arial"/>
          <w:bCs/>
          <w:szCs w:val="20"/>
        </w:rPr>
        <w:t>Cth</w:t>
      </w:r>
      <w:proofErr w:type="spellEnd"/>
      <w:r w:rsidRPr="00987C7F">
        <w:rPr>
          <w:rFonts w:cs="Arial"/>
          <w:bCs/>
          <w:szCs w:val="20"/>
        </w:rPr>
        <w:t>) specifically for education and training providers to ensure students with disabilities have equitable access and participation to education. The main objective of the Education Standards is to provide a clear understanding of the rights and responsibilities for education and training providers and people with disabilities.</w:t>
      </w:r>
    </w:p>
    <w:p w:rsidR="0067137E" w:rsidRDefault="00165722" w:rsidP="00BD6CB9">
      <w:pPr>
        <w:rPr>
          <w:rFonts w:cs="Arial"/>
          <w:bCs/>
          <w:szCs w:val="20"/>
        </w:rPr>
      </w:pPr>
      <w:r w:rsidRPr="00987C7F">
        <w:rPr>
          <w:rFonts w:cs="Arial"/>
          <w:bCs/>
          <w:szCs w:val="20"/>
        </w:rPr>
        <w:t>The standards cover a range of areas including reasonable adjustment; enrolment; participation; curriculum development, accreditation and delivery; student support services; harassment and victimisation and treatment of a person who has an associate with a disability.</w:t>
      </w:r>
    </w:p>
    <w:p w:rsidR="00165722" w:rsidRPr="00987C7F" w:rsidRDefault="00165722" w:rsidP="00165722">
      <w:pPr>
        <w:rPr>
          <w:rFonts w:cs="Arial"/>
          <w:bCs/>
          <w:szCs w:val="20"/>
        </w:rPr>
      </w:pPr>
      <w:r w:rsidRPr="00987C7F">
        <w:rPr>
          <w:rFonts w:cs="Arial"/>
          <w:bCs/>
          <w:szCs w:val="20"/>
        </w:rPr>
        <w:t>The Education Standards were recently reviewed and a report on the review was published in August 2012. The review revealed that implementation of the standards needs to be more effective and as a result the report makes 14 recommendations covering the following key themes:</w:t>
      </w:r>
    </w:p>
    <w:p w:rsidR="00165722" w:rsidRPr="00987C7F" w:rsidRDefault="00165722" w:rsidP="00004DED">
      <w:pPr>
        <w:numPr>
          <w:ilvl w:val="0"/>
          <w:numId w:val="10"/>
        </w:numPr>
        <w:rPr>
          <w:rFonts w:cs="Arial"/>
          <w:bCs/>
          <w:szCs w:val="20"/>
        </w:rPr>
      </w:pPr>
      <w:r w:rsidRPr="00987C7F">
        <w:rPr>
          <w:rFonts w:cs="Arial"/>
          <w:bCs/>
          <w:szCs w:val="20"/>
        </w:rPr>
        <w:t>awareness raising</w:t>
      </w:r>
    </w:p>
    <w:p w:rsidR="00165722" w:rsidRPr="00987C7F" w:rsidRDefault="00165722" w:rsidP="00004DED">
      <w:pPr>
        <w:numPr>
          <w:ilvl w:val="0"/>
          <w:numId w:val="10"/>
        </w:numPr>
        <w:rPr>
          <w:rFonts w:cs="Arial"/>
          <w:bCs/>
          <w:szCs w:val="20"/>
        </w:rPr>
      </w:pPr>
      <w:r w:rsidRPr="00987C7F">
        <w:rPr>
          <w:rFonts w:cs="Arial"/>
          <w:bCs/>
          <w:szCs w:val="20"/>
        </w:rPr>
        <w:lastRenderedPageBreak/>
        <w:t xml:space="preserve">improving clarity  </w:t>
      </w:r>
    </w:p>
    <w:p w:rsidR="00165722" w:rsidRPr="00987C7F" w:rsidRDefault="00165722" w:rsidP="00004DED">
      <w:pPr>
        <w:numPr>
          <w:ilvl w:val="0"/>
          <w:numId w:val="10"/>
        </w:numPr>
        <w:rPr>
          <w:rFonts w:cs="Arial"/>
          <w:bCs/>
          <w:szCs w:val="20"/>
        </w:rPr>
      </w:pPr>
      <w:r w:rsidRPr="00987C7F">
        <w:rPr>
          <w:rFonts w:cs="Arial"/>
          <w:bCs/>
          <w:szCs w:val="20"/>
        </w:rPr>
        <w:t>access and participation, discrimination and inclusion</w:t>
      </w:r>
    </w:p>
    <w:p w:rsidR="00165722" w:rsidRPr="00987C7F" w:rsidRDefault="00165722" w:rsidP="00004DED">
      <w:pPr>
        <w:numPr>
          <w:ilvl w:val="0"/>
          <w:numId w:val="10"/>
        </w:numPr>
        <w:rPr>
          <w:rFonts w:cs="Arial"/>
          <w:bCs/>
          <w:szCs w:val="20"/>
        </w:rPr>
      </w:pPr>
      <w:r w:rsidRPr="00987C7F">
        <w:rPr>
          <w:rFonts w:cs="Arial"/>
          <w:bCs/>
          <w:szCs w:val="20"/>
        </w:rPr>
        <w:t>complaints, accountability, and compliance processes</w:t>
      </w:r>
    </w:p>
    <w:p w:rsidR="00165722" w:rsidRPr="00B7433C" w:rsidRDefault="00165722" w:rsidP="00165722">
      <w:pPr>
        <w:numPr>
          <w:ilvl w:val="0"/>
          <w:numId w:val="10"/>
        </w:numPr>
        <w:rPr>
          <w:rFonts w:cs="Arial"/>
          <w:bCs/>
          <w:szCs w:val="20"/>
        </w:rPr>
      </w:pPr>
      <w:proofErr w:type="gramStart"/>
      <w:r w:rsidRPr="00987C7F">
        <w:rPr>
          <w:rFonts w:cs="Arial"/>
          <w:bCs/>
          <w:szCs w:val="20"/>
        </w:rPr>
        <w:t>contemporary</w:t>
      </w:r>
      <w:proofErr w:type="gramEnd"/>
      <w:r w:rsidRPr="00987C7F">
        <w:rPr>
          <w:rFonts w:cs="Arial"/>
          <w:bCs/>
          <w:szCs w:val="20"/>
        </w:rPr>
        <w:t xml:space="preserve"> education practice and related issues.</w:t>
      </w:r>
    </w:p>
    <w:p w:rsidR="00165722" w:rsidRPr="00B7433C" w:rsidRDefault="00165722" w:rsidP="00B7433C">
      <w:pPr>
        <w:pStyle w:val="Heading4"/>
        <w:rPr>
          <w:bCs/>
        </w:rPr>
      </w:pPr>
      <w:r w:rsidRPr="00987C7F">
        <w:t>The National Disability Strategy</w:t>
      </w:r>
      <w:r w:rsidRPr="00987C7F">
        <w:rPr>
          <w:bCs/>
        </w:rPr>
        <w:t> 2010–20</w:t>
      </w:r>
    </w:p>
    <w:p w:rsidR="00165722" w:rsidRPr="00987C7F" w:rsidRDefault="00165722" w:rsidP="00165722">
      <w:pPr>
        <w:rPr>
          <w:rFonts w:cs="Arial"/>
          <w:bCs/>
          <w:szCs w:val="20"/>
        </w:rPr>
      </w:pPr>
      <w:r w:rsidRPr="00987C7F">
        <w:rPr>
          <w:rFonts w:cs="Arial"/>
          <w:bCs/>
          <w:szCs w:val="20"/>
        </w:rPr>
        <w:t xml:space="preserve">The National Disability Strategy </w:t>
      </w:r>
      <w:r w:rsidR="000D43C0">
        <w:rPr>
          <w:rFonts w:cs="Arial"/>
          <w:bCs/>
          <w:szCs w:val="20"/>
        </w:rPr>
        <w:t xml:space="preserve">(NDS) </w:t>
      </w:r>
      <w:r w:rsidRPr="00987C7F">
        <w:rPr>
          <w:rFonts w:cs="Arial"/>
          <w:bCs/>
          <w:szCs w:val="20"/>
        </w:rPr>
        <w:t>sets out a 10-year national plan for improving life for Australians with disability, their families and carers. It represents a commitment by all levels of government, industry and the community to a unified, national approach to policy and program development to improve the lives of people with disabilities, their families and carers. The Commonwealth, state and territory and local governments developed the strategy in partnership under the auspices of the Council of Australian Governments (COAG). The strategy was formally endorsed by COAG on 13 February 2011.</w:t>
      </w:r>
    </w:p>
    <w:p w:rsidR="00165722" w:rsidRPr="005838BE" w:rsidRDefault="00165722" w:rsidP="00165722">
      <w:pPr>
        <w:rPr>
          <w:rFonts w:cs="Arial"/>
          <w:bCs/>
          <w:szCs w:val="20"/>
        </w:rPr>
      </w:pPr>
      <w:r w:rsidRPr="00987C7F">
        <w:rPr>
          <w:rFonts w:cs="Arial"/>
          <w:bCs/>
          <w:szCs w:val="20"/>
        </w:rPr>
        <w:t>The strategy is a 10</w:t>
      </w:r>
      <w:r w:rsidR="000D43C0">
        <w:rPr>
          <w:rFonts w:cs="Arial"/>
          <w:bCs/>
          <w:szCs w:val="20"/>
        </w:rPr>
        <w:t>-</w:t>
      </w:r>
      <w:r w:rsidRPr="00987C7F">
        <w:rPr>
          <w:rFonts w:cs="Arial"/>
          <w:bCs/>
          <w:szCs w:val="20"/>
        </w:rPr>
        <w:t xml:space="preserve">year plan that sets out six priority areas for action including: inclusive and accessible communities, </w:t>
      </w:r>
      <w:r w:rsidRPr="00987C7F">
        <w:rPr>
          <w:szCs w:val="20"/>
          <w:shd w:val="clear" w:color="auto" w:fill="FFFFFF"/>
        </w:rPr>
        <w:t>economic security and learning and skills</w:t>
      </w:r>
      <w:r w:rsidRPr="005838BE">
        <w:rPr>
          <w:szCs w:val="20"/>
          <w:shd w:val="clear" w:color="auto" w:fill="FFFFFF"/>
        </w:rPr>
        <w:t>.</w:t>
      </w:r>
      <w:r w:rsidRPr="005838BE">
        <w:rPr>
          <w:rFonts w:cs="Arial"/>
          <w:bCs/>
          <w:szCs w:val="20"/>
        </w:rPr>
        <w:t xml:space="preserve"> However</w:t>
      </w:r>
      <w:r w:rsidR="000D43C0" w:rsidRPr="005838BE">
        <w:rPr>
          <w:rFonts w:cs="Arial"/>
          <w:bCs/>
          <w:szCs w:val="20"/>
        </w:rPr>
        <w:t>,</w:t>
      </w:r>
      <w:r w:rsidRPr="005838BE">
        <w:rPr>
          <w:rFonts w:cs="Arial"/>
          <w:bCs/>
          <w:szCs w:val="20"/>
        </w:rPr>
        <w:t xml:space="preserve"> an implementation plan for the strategy has not yet been finalised. Meaningful engagement with people with disabilities and their representative organisations has not been maintained for the development of the NDS and for the preparation of the NDS implementation plan.</w:t>
      </w:r>
      <w:r w:rsidRPr="005838BE">
        <w:rPr>
          <w:rStyle w:val="FootnoteReference"/>
          <w:rFonts w:cs="Arial"/>
          <w:bCs/>
          <w:szCs w:val="20"/>
        </w:rPr>
        <w:footnoteReference w:id="16"/>
      </w:r>
      <w:r w:rsidRPr="005838BE" w:rsidDel="00334DCF">
        <w:rPr>
          <w:szCs w:val="20"/>
          <w:shd w:val="clear" w:color="auto" w:fill="FFFFFF"/>
        </w:rPr>
        <w:t xml:space="preserve"> </w:t>
      </w:r>
    </w:p>
    <w:p w:rsidR="00165722" w:rsidRPr="00987C7F" w:rsidRDefault="00165722" w:rsidP="00110FA1">
      <w:pPr>
        <w:pStyle w:val="Heading4"/>
      </w:pPr>
      <w:r w:rsidRPr="00987C7F">
        <w:t>OTHER KEY LEGISLATION AND GUIDELINES</w:t>
      </w:r>
    </w:p>
    <w:p w:rsidR="00165722" w:rsidRPr="00987C7F" w:rsidRDefault="00165722" w:rsidP="00004DED">
      <w:pPr>
        <w:pStyle w:val="ColorfulList-Accent11"/>
        <w:numPr>
          <w:ilvl w:val="0"/>
          <w:numId w:val="7"/>
        </w:numPr>
        <w:rPr>
          <w:i/>
          <w:szCs w:val="20"/>
        </w:rPr>
      </w:pPr>
      <w:r w:rsidRPr="00987C7F">
        <w:rPr>
          <w:bCs/>
          <w:i/>
          <w:szCs w:val="20"/>
          <w:shd w:val="clear" w:color="auto" w:fill="FFFFFF"/>
        </w:rPr>
        <w:t>Australian Human Rights Commission Act 1986 (</w:t>
      </w:r>
      <w:proofErr w:type="spellStart"/>
      <w:r w:rsidRPr="00987C7F">
        <w:rPr>
          <w:bCs/>
          <w:i/>
          <w:szCs w:val="20"/>
          <w:shd w:val="clear" w:color="auto" w:fill="FFFFFF"/>
        </w:rPr>
        <w:t>Cth</w:t>
      </w:r>
      <w:proofErr w:type="spellEnd"/>
      <w:r w:rsidRPr="00987C7F">
        <w:rPr>
          <w:bCs/>
          <w:i/>
          <w:szCs w:val="20"/>
          <w:shd w:val="clear" w:color="auto" w:fill="FFFFFF"/>
        </w:rPr>
        <w:t>)</w:t>
      </w:r>
    </w:p>
    <w:p w:rsidR="00165722" w:rsidRPr="00987C7F" w:rsidRDefault="00165722" w:rsidP="00004DED">
      <w:pPr>
        <w:numPr>
          <w:ilvl w:val="0"/>
          <w:numId w:val="7"/>
        </w:numPr>
        <w:rPr>
          <w:rFonts w:cs="Arial"/>
          <w:szCs w:val="20"/>
        </w:rPr>
      </w:pPr>
      <w:r w:rsidRPr="00987C7F">
        <w:rPr>
          <w:rFonts w:cs="Arial"/>
          <w:i/>
          <w:iCs/>
          <w:szCs w:val="20"/>
        </w:rPr>
        <w:t>Fair Work Act 2009 (</w:t>
      </w:r>
      <w:proofErr w:type="spellStart"/>
      <w:r w:rsidRPr="00987C7F">
        <w:rPr>
          <w:rFonts w:cs="Arial"/>
          <w:i/>
          <w:iCs/>
          <w:szCs w:val="20"/>
        </w:rPr>
        <w:t>Cth</w:t>
      </w:r>
      <w:proofErr w:type="spellEnd"/>
      <w:r w:rsidRPr="00987C7F">
        <w:rPr>
          <w:rFonts w:cs="Arial"/>
          <w:i/>
          <w:iCs/>
          <w:szCs w:val="20"/>
        </w:rPr>
        <w:t>)</w:t>
      </w:r>
    </w:p>
    <w:p w:rsidR="00165722" w:rsidRPr="00987C7F" w:rsidRDefault="00165722" w:rsidP="00004DED">
      <w:pPr>
        <w:numPr>
          <w:ilvl w:val="0"/>
          <w:numId w:val="7"/>
        </w:numPr>
        <w:rPr>
          <w:rFonts w:cs="Arial"/>
          <w:szCs w:val="20"/>
        </w:rPr>
      </w:pPr>
      <w:r w:rsidRPr="00987C7F">
        <w:rPr>
          <w:rFonts w:cs="Arial"/>
          <w:i/>
          <w:iCs/>
          <w:szCs w:val="20"/>
        </w:rPr>
        <w:t>Privacy and Personal Information Act 1988 (NSW)</w:t>
      </w:r>
    </w:p>
    <w:p w:rsidR="00165722" w:rsidRPr="00987C7F" w:rsidRDefault="00165722" w:rsidP="00004DED">
      <w:pPr>
        <w:numPr>
          <w:ilvl w:val="0"/>
          <w:numId w:val="7"/>
        </w:numPr>
        <w:rPr>
          <w:rFonts w:cs="Arial"/>
          <w:szCs w:val="20"/>
        </w:rPr>
      </w:pPr>
      <w:r w:rsidRPr="00987C7F">
        <w:rPr>
          <w:rFonts w:cs="Arial"/>
          <w:i/>
          <w:iCs/>
          <w:szCs w:val="20"/>
        </w:rPr>
        <w:t>Anti-Discrimination Act 1977 (NSW)</w:t>
      </w:r>
    </w:p>
    <w:p w:rsidR="00165722" w:rsidRPr="00987C7F" w:rsidRDefault="00165722" w:rsidP="00004DED">
      <w:pPr>
        <w:numPr>
          <w:ilvl w:val="0"/>
          <w:numId w:val="7"/>
        </w:numPr>
        <w:rPr>
          <w:rFonts w:cs="Arial"/>
          <w:szCs w:val="20"/>
        </w:rPr>
      </w:pPr>
      <w:r w:rsidRPr="00987C7F">
        <w:rPr>
          <w:rFonts w:cs="Arial"/>
          <w:i/>
          <w:iCs/>
          <w:szCs w:val="20"/>
        </w:rPr>
        <w:t>Disability Services Act 1993 (NSW)</w:t>
      </w:r>
    </w:p>
    <w:p w:rsidR="00165722" w:rsidRPr="00987C7F" w:rsidRDefault="00165722" w:rsidP="00004DED">
      <w:pPr>
        <w:numPr>
          <w:ilvl w:val="0"/>
          <w:numId w:val="7"/>
        </w:numPr>
        <w:rPr>
          <w:rFonts w:cs="Arial"/>
          <w:i/>
          <w:szCs w:val="20"/>
        </w:rPr>
      </w:pPr>
      <w:r w:rsidRPr="00987C7F">
        <w:rPr>
          <w:rFonts w:cs="Arial"/>
          <w:i/>
          <w:szCs w:val="20"/>
        </w:rPr>
        <w:t>Disability Standards for Education 2005</w:t>
      </w:r>
    </w:p>
    <w:p w:rsidR="00165722" w:rsidRPr="00987C7F" w:rsidRDefault="00165722" w:rsidP="00004DED">
      <w:pPr>
        <w:numPr>
          <w:ilvl w:val="0"/>
          <w:numId w:val="7"/>
        </w:numPr>
        <w:rPr>
          <w:rFonts w:cs="Arial"/>
          <w:szCs w:val="20"/>
        </w:rPr>
      </w:pPr>
      <w:r w:rsidRPr="00987C7F">
        <w:rPr>
          <w:rFonts w:cs="Arial"/>
          <w:i/>
          <w:szCs w:val="20"/>
        </w:rPr>
        <w:t>Report on the Review of Disability Standards for Education 2005</w:t>
      </w:r>
    </w:p>
    <w:p w:rsidR="00165722" w:rsidRPr="00987C7F" w:rsidRDefault="00165722" w:rsidP="00004DED">
      <w:pPr>
        <w:numPr>
          <w:ilvl w:val="0"/>
          <w:numId w:val="7"/>
        </w:numPr>
        <w:rPr>
          <w:rFonts w:cs="Arial"/>
          <w:szCs w:val="20"/>
        </w:rPr>
      </w:pPr>
      <w:r w:rsidRPr="00987C7F">
        <w:rPr>
          <w:rFonts w:cs="Arial"/>
          <w:i/>
          <w:iCs/>
          <w:szCs w:val="20"/>
        </w:rPr>
        <w:t>Disability Standards for Accessible Public Transport 2004</w:t>
      </w:r>
    </w:p>
    <w:p w:rsidR="00165722" w:rsidRPr="00987C7F" w:rsidRDefault="00165722" w:rsidP="00004DED">
      <w:pPr>
        <w:numPr>
          <w:ilvl w:val="0"/>
          <w:numId w:val="7"/>
        </w:numPr>
        <w:rPr>
          <w:rFonts w:cs="Arial"/>
          <w:szCs w:val="20"/>
        </w:rPr>
      </w:pPr>
      <w:r w:rsidRPr="00987C7F">
        <w:rPr>
          <w:rFonts w:cs="Arial"/>
          <w:i/>
          <w:iCs/>
          <w:szCs w:val="20"/>
        </w:rPr>
        <w:lastRenderedPageBreak/>
        <w:t>Disability (Access to Premises – buildings) Standards 2010</w:t>
      </w:r>
    </w:p>
    <w:p w:rsidR="00165722" w:rsidRPr="00987C7F" w:rsidRDefault="00165722" w:rsidP="00004DED">
      <w:pPr>
        <w:numPr>
          <w:ilvl w:val="0"/>
          <w:numId w:val="7"/>
        </w:numPr>
        <w:rPr>
          <w:rFonts w:cs="Arial"/>
          <w:szCs w:val="20"/>
        </w:rPr>
      </w:pPr>
      <w:r w:rsidRPr="00987C7F">
        <w:rPr>
          <w:rFonts w:cs="Arial"/>
          <w:i/>
          <w:iCs/>
          <w:szCs w:val="20"/>
        </w:rPr>
        <w:t>World Wide Web Access: Disability Discrimination Act Advisory Notes</w:t>
      </w:r>
    </w:p>
    <w:p w:rsidR="00165722" w:rsidRPr="004A2066" w:rsidRDefault="00165722" w:rsidP="004A2066">
      <w:pPr>
        <w:numPr>
          <w:ilvl w:val="0"/>
          <w:numId w:val="7"/>
        </w:numPr>
        <w:rPr>
          <w:rFonts w:cs="Arial"/>
          <w:i/>
          <w:iCs/>
          <w:szCs w:val="20"/>
        </w:rPr>
      </w:pPr>
      <w:r w:rsidRPr="004A2066">
        <w:rPr>
          <w:rFonts w:cs="Arial"/>
          <w:i/>
          <w:iCs/>
          <w:szCs w:val="20"/>
        </w:rPr>
        <w:t>Web Content Accessibility Guidelines WC3</w:t>
      </w:r>
    </w:p>
    <w:p w:rsidR="00165722" w:rsidRPr="004A2066" w:rsidRDefault="00165722" w:rsidP="004A2066">
      <w:pPr>
        <w:numPr>
          <w:ilvl w:val="0"/>
          <w:numId w:val="7"/>
        </w:numPr>
        <w:rPr>
          <w:rFonts w:cs="Arial"/>
          <w:i/>
          <w:iCs/>
          <w:szCs w:val="20"/>
        </w:rPr>
      </w:pPr>
      <w:r w:rsidRPr="004A2066">
        <w:rPr>
          <w:rFonts w:cs="Arial"/>
          <w:i/>
          <w:iCs/>
          <w:szCs w:val="20"/>
        </w:rPr>
        <w:t xml:space="preserve">Australian Vice-Chancellors’ Committee (AVCC) Guidelines relating to Students with a Disability, 2006 </w:t>
      </w:r>
    </w:p>
    <w:p w:rsidR="004A2066" w:rsidRPr="0067137E" w:rsidRDefault="00165722" w:rsidP="0067137E">
      <w:pPr>
        <w:numPr>
          <w:ilvl w:val="0"/>
          <w:numId w:val="7"/>
        </w:numPr>
        <w:rPr>
          <w:rFonts w:cs="Arial"/>
          <w:i/>
          <w:iCs/>
          <w:szCs w:val="20"/>
        </w:rPr>
      </w:pPr>
      <w:r w:rsidRPr="0067137E">
        <w:rPr>
          <w:rFonts w:cs="Arial"/>
          <w:i/>
          <w:iCs/>
          <w:szCs w:val="20"/>
        </w:rPr>
        <w:t>Australian Vice-Chancellors Committee (AVCC) Guidelines on information access for students with print disabilities, 2004</w:t>
      </w:r>
    </w:p>
    <w:p w:rsidR="00165722" w:rsidRPr="00987C7F" w:rsidRDefault="00165722" w:rsidP="00E1390B">
      <w:pPr>
        <w:pStyle w:val="Heading4"/>
      </w:pPr>
      <w:r w:rsidRPr="00B7433C">
        <w:t xml:space="preserve">STRATEGIC FRAMEWORK </w:t>
      </w:r>
    </w:p>
    <w:p w:rsidR="00165722" w:rsidRPr="00110FA1" w:rsidRDefault="00165722" w:rsidP="00165722">
      <w:pPr>
        <w:rPr>
          <w:rFonts w:cs="Arial"/>
          <w:szCs w:val="20"/>
          <w:highlight w:val="yellow"/>
        </w:rPr>
      </w:pPr>
      <w:r w:rsidRPr="00987C7F">
        <w:rPr>
          <w:rFonts w:cs="Arial"/>
          <w:szCs w:val="20"/>
        </w:rPr>
        <w:t>The University is committed to providing accessible education to people with disabilities. This is reflected in initiative 4b of the University’s strategic plan – the 2011–15</w:t>
      </w:r>
      <w:r w:rsidRPr="00987C7F">
        <w:rPr>
          <w:rFonts w:cs="Arial"/>
          <w:i/>
          <w:szCs w:val="20"/>
        </w:rPr>
        <w:t xml:space="preserve"> White Paper – </w:t>
      </w:r>
      <w:r w:rsidRPr="00987C7F">
        <w:rPr>
          <w:rFonts w:cs="Arial"/>
          <w:szCs w:val="20"/>
        </w:rPr>
        <w:t>which</w:t>
      </w:r>
      <w:r w:rsidRPr="00987C7F">
        <w:rPr>
          <w:rFonts w:cs="Arial"/>
          <w:bCs/>
          <w:szCs w:val="20"/>
        </w:rPr>
        <w:t xml:space="preserve"> states:</w:t>
      </w:r>
      <w:r w:rsidRPr="00987C7F">
        <w:rPr>
          <w:rFonts w:cs="Arial"/>
          <w:szCs w:val="20"/>
        </w:rPr>
        <w:t xml:space="preserve"> </w:t>
      </w:r>
      <w:r w:rsidRPr="00987C7F">
        <w:rPr>
          <w:rFonts w:cs="Arial"/>
          <w:iCs/>
          <w:szCs w:val="20"/>
        </w:rPr>
        <w:t xml:space="preserve">Support universal access by investing in implementation of the Disability Action Plan, including the allocation of disability officers and ongoing training for staff. </w:t>
      </w:r>
    </w:p>
    <w:p w:rsidR="00165722" w:rsidRPr="00110FA1" w:rsidRDefault="00665821" w:rsidP="00110FA1">
      <w:pPr>
        <w:pStyle w:val="Heading2"/>
      </w:pPr>
      <w:bookmarkStart w:id="21" w:name="_Toc357508218"/>
      <w:r>
        <w:t>B</w:t>
      </w:r>
      <w:r w:rsidR="00165722" w:rsidRPr="00987C7F">
        <w:t>ackground/about the university</w:t>
      </w:r>
      <w:bookmarkEnd w:id="21"/>
    </w:p>
    <w:p w:rsidR="00165722" w:rsidRPr="00110FA1" w:rsidRDefault="00165722" w:rsidP="00165722">
      <w:pPr>
        <w:rPr>
          <w:rFonts w:cs="Arial"/>
          <w:szCs w:val="20"/>
        </w:rPr>
      </w:pPr>
      <w:r w:rsidRPr="00987C7F">
        <w:rPr>
          <w:rFonts w:cs="Arial"/>
          <w:szCs w:val="20"/>
        </w:rPr>
        <w:t xml:space="preserve">The University of Sydney has a long tradition of welcoming people from all social and cultural backgrounds to enrich its environment. From its beginning in 1850 it has supported inclusion and access, and </w:t>
      </w:r>
      <w:r w:rsidRPr="00987C7F">
        <w:rPr>
          <w:rFonts w:cs="Arial"/>
          <w:szCs w:val="20"/>
          <w:shd w:val="clear" w:color="auto" w:fill="FFFFFF"/>
        </w:rPr>
        <w:t>admitted students based on academic merit rather than on their religion or social class.</w:t>
      </w:r>
    </w:p>
    <w:p w:rsidR="00165722" w:rsidRPr="00987C7F" w:rsidRDefault="00165722" w:rsidP="00165722">
      <w:pPr>
        <w:rPr>
          <w:rFonts w:cs="Arial"/>
          <w:szCs w:val="20"/>
          <w:shd w:val="clear" w:color="auto" w:fill="FFFFFF"/>
        </w:rPr>
      </w:pPr>
      <w:r w:rsidRPr="00987C7F">
        <w:rPr>
          <w:rFonts w:cs="Arial"/>
          <w:szCs w:val="20"/>
          <w:shd w:val="clear" w:color="auto" w:fill="FFFFFF"/>
        </w:rPr>
        <w:t xml:space="preserve">As the University started to grow during the second half of the 19th century it evolved to respond to the needs of its students and the wider community and developed a culture of benefaction and philanthropy. </w:t>
      </w:r>
    </w:p>
    <w:p w:rsidR="00165722" w:rsidRPr="00987C7F" w:rsidRDefault="00165722" w:rsidP="00165722">
      <w:pPr>
        <w:rPr>
          <w:rFonts w:cs="Arial"/>
          <w:szCs w:val="20"/>
          <w:shd w:val="clear" w:color="auto" w:fill="FFFFFF"/>
        </w:rPr>
      </w:pPr>
      <w:r w:rsidRPr="00987C7F">
        <w:rPr>
          <w:rFonts w:cs="Arial"/>
          <w:szCs w:val="20"/>
          <w:shd w:val="clear" w:color="auto" w:fill="FFFFFF"/>
        </w:rPr>
        <w:t>In 1881 the University was among the earliest universities in the world to start admitting women on the same basis as men and many decades before either the University of Oxford or Cambridge.</w:t>
      </w:r>
    </w:p>
    <w:p w:rsidR="00165722" w:rsidRPr="00110FA1" w:rsidRDefault="00165722" w:rsidP="00165722">
      <w:pPr>
        <w:rPr>
          <w:shd w:val="clear" w:color="auto" w:fill="FFFFFF"/>
        </w:rPr>
      </w:pPr>
      <w:r w:rsidRPr="00987C7F">
        <w:rPr>
          <w:shd w:val="clear" w:color="auto" w:fill="FFFFFF"/>
        </w:rPr>
        <w:t xml:space="preserve">This Disability Action Plan follows in the tradition of providing access to students based on an individual’s ability. </w:t>
      </w:r>
    </w:p>
    <w:p w:rsidR="00165722" w:rsidRPr="00110FA1" w:rsidRDefault="00165722" w:rsidP="00110FA1">
      <w:pPr>
        <w:pStyle w:val="Heading2"/>
      </w:pPr>
      <w:bookmarkStart w:id="22" w:name="_Toc357508219"/>
      <w:r w:rsidRPr="00987C7F">
        <w:t>P</w:t>
      </w:r>
      <w:r w:rsidR="00665821">
        <w:t>rogress and achievements since 2006</w:t>
      </w:r>
      <w:bookmarkEnd w:id="22"/>
    </w:p>
    <w:p w:rsidR="00165722" w:rsidRPr="00987C7F" w:rsidRDefault="00165722" w:rsidP="00165722">
      <w:pPr>
        <w:rPr>
          <w:rFonts w:cs="Arial"/>
          <w:szCs w:val="20"/>
        </w:rPr>
      </w:pPr>
      <w:r w:rsidRPr="00987C7F">
        <w:rPr>
          <w:rFonts w:cs="Arial"/>
          <w:szCs w:val="20"/>
        </w:rPr>
        <w:t>From 2010–12 the University reviewed the current level of access provided at the University for people with disabilities, and the Disability Action Plan Development Group played an integral role in this process. The University has focused on improving access and</w:t>
      </w:r>
      <w:r w:rsidR="001A25F3">
        <w:rPr>
          <w:rFonts w:cs="Arial"/>
          <w:szCs w:val="20"/>
        </w:rPr>
        <w:t xml:space="preserve"> the</w:t>
      </w:r>
      <w:r w:rsidRPr="00987C7F">
        <w:rPr>
          <w:rFonts w:cs="Arial"/>
          <w:szCs w:val="20"/>
        </w:rPr>
        <w:t xml:space="preserve"> following is a snapshot of our progress since our last disability action plan 2006–10.</w:t>
      </w:r>
    </w:p>
    <w:p w:rsidR="00165722" w:rsidRPr="00987C7F" w:rsidRDefault="00165722" w:rsidP="00110FA1">
      <w:r w:rsidRPr="00987C7F">
        <w:t>Information and Communications Technology</w:t>
      </w:r>
    </w:p>
    <w:p w:rsidR="00165722" w:rsidRPr="00987C7F" w:rsidRDefault="00165722" w:rsidP="00004DED">
      <w:pPr>
        <w:numPr>
          <w:ilvl w:val="0"/>
          <w:numId w:val="12"/>
        </w:numPr>
        <w:rPr>
          <w:rFonts w:cs="Arial"/>
          <w:szCs w:val="20"/>
        </w:rPr>
      </w:pPr>
      <w:r w:rsidRPr="00987C7F">
        <w:rPr>
          <w:rFonts w:cs="Arial"/>
          <w:szCs w:val="20"/>
        </w:rPr>
        <w:t>In 2009 the Information and Communications Technology Division created an accessibility assessment service to evaluate and review websites, web-based applications and online resources against the Web Content Accessibility Guidelines (WCAG).</w:t>
      </w:r>
    </w:p>
    <w:p w:rsidR="00165722" w:rsidRPr="00987C7F" w:rsidRDefault="00165722" w:rsidP="00004DED">
      <w:pPr>
        <w:numPr>
          <w:ilvl w:val="0"/>
          <w:numId w:val="12"/>
        </w:numPr>
        <w:rPr>
          <w:rFonts w:cs="Arial"/>
          <w:szCs w:val="20"/>
        </w:rPr>
      </w:pPr>
      <w:r w:rsidRPr="00987C7F">
        <w:rPr>
          <w:rFonts w:cs="Arial"/>
          <w:szCs w:val="20"/>
          <w:lang w:val="en-US"/>
        </w:rPr>
        <w:t>The Marketing and Communications Division has integrated accessibility guidelines into its working practices for web content and web development. This includes</w:t>
      </w:r>
      <w:r w:rsidR="003E46A7">
        <w:rPr>
          <w:rFonts w:cs="Arial"/>
          <w:szCs w:val="20"/>
          <w:lang w:val="en-US"/>
        </w:rPr>
        <w:t>: ensuring that the University standard w</w:t>
      </w:r>
      <w:r w:rsidRPr="00987C7F">
        <w:rPr>
          <w:rFonts w:cs="Arial"/>
          <w:szCs w:val="20"/>
          <w:lang w:val="en-US"/>
        </w:rPr>
        <w:t>eb Template meets WCAG guidelines; undertaking staff training in accessibility; conducting accessibility reviews of web projects; hiring specialists to review large projects; and working to improve the Disability Services website.</w:t>
      </w:r>
    </w:p>
    <w:p w:rsidR="00165722" w:rsidRPr="00987C7F" w:rsidRDefault="00165722" w:rsidP="00004DED">
      <w:pPr>
        <w:numPr>
          <w:ilvl w:val="0"/>
          <w:numId w:val="12"/>
        </w:numPr>
        <w:rPr>
          <w:rFonts w:cs="Arial"/>
          <w:szCs w:val="20"/>
        </w:rPr>
      </w:pPr>
      <w:r w:rsidRPr="00987C7F">
        <w:rPr>
          <w:rFonts w:cs="Arial"/>
          <w:szCs w:val="20"/>
        </w:rPr>
        <w:lastRenderedPageBreak/>
        <w:t xml:space="preserve">Live remote captioning has been in place since 2009 for students with profound deafness. </w:t>
      </w:r>
    </w:p>
    <w:p w:rsidR="00165722" w:rsidRPr="00987C7F" w:rsidRDefault="00165722" w:rsidP="00004DED">
      <w:pPr>
        <w:numPr>
          <w:ilvl w:val="0"/>
          <w:numId w:val="12"/>
        </w:numPr>
        <w:rPr>
          <w:rFonts w:cs="Arial"/>
          <w:szCs w:val="20"/>
        </w:rPr>
      </w:pPr>
      <w:r w:rsidRPr="00987C7F">
        <w:rPr>
          <w:rFonts w:cs="Arial"/>
          <w:szCs w:val="20"/>
        </w:rPr>
        <w:t xml:space="preserve">The increased use of </w:t>
      </w:r>
      <w:proofErr w:type="spellStart"/>
      <w:r w:rsidRPr="00987C7F">
        <w:rPr>
          <w:rFonts w:cs="Arial"/>
          <w:szCs w:val="20"/>
        </w:rPr>
        <w:t>Lectopia</w:t>
      </w:r>
      <w:proofErr w:type="spellEnd"/>
      <w:r w:rsidRPr="00987C7F">
        <w:rPr>
          <w:rFonts w:cs="Arial"/>
          <w:szCs w:val="20"/>
        </w:rPr>
        <w:t xml:space="preserve"> in lecture theatres has reduced the requirements for individual note takers.</w:t>
      </w:r>
    </w:p>
    <w:p w:rsidR="00165722" w:rsidRPr="00987C7F" w:rsidRDefault="00165722" w:rsidP="00004DED">
      <w:pPr>
        <w:numPr>
          <w:ilvl w:val="0"/>
          <w:numId w:val="12"/>
        </w:numPr>
        <w:rPr>
          <w:rFonts w:cs="Arial"/>
          <w:szCs w:val="20"/>
        </w:rPr>
      </w:pPr>
      <w:r w:rsidRPr="00987C7F">
        <w:rPr>
          <w:rFonts w:cs="Arial"/>
          <w:szCs w:val="20"/>
        </w:rPr>
        <w:t>The replacement of the Learning Management System (</w:t>
      </w:r>
      <w:proofErr w:type="spellStart"/>
      <w:r w:rsidRPr="00987C7F">
        <w:rPr>
          <w:rFonts w:cs="Arial"/>
          <w:szCs w:val="20"/>
        </w:rPr>
        <w:t>WebCt</w:t>
      </w:r>
      <w:proofErr w:type="spellEnd"/>
      <w:r w:rsidRPr="00987C7F">
        <w:rPr>
          <w:rFonts w:cs="Arial"/>
          <w:szCs w:val="20"/>
        </w:rPr>
        <w:t>) with Blackboard Learn in 2010 has addressed long-standing accessibility issues with University learning systems.</w:t>
      </w:r>
    </w:p>
    <w:p w:rsidR="00165722" w:rsidRPr="00987C7F" w:rsidRDefault="00165722" w:rsidP="00004DED">
      <w:pPr>
        <w:numPr>
          <w:ilvl w:val="0"/>
          <w:numId w:val="12"/>
        </w:numPr>
        <w:rPr>
          <w:rFonts w:cs="Arial"/>
          <w:szCs w:val="20"/>
        </w:rPr>
      </w:pPr>
      <w:r w:rsidRPr="00987C7F">
        <w:rPr>
          <w:rFonts w:cs="Arial"/>
          <w:szCs w:val="20"/>
        </w:rPr>
        <w:t xml:space="preserve">The establishment of the Assistive Technology Room at Fisher Library has improved access for more than 150 students who require this customised software and hardware. </w:t>
      </w:r>
    </w:p>
    <w:p w:rsidR="00165722" w:rsidRPr="00987C7F" w:rsidRDefault="00165722" w:rsidP="00004DED">
      <w:pPr>
        <w:numPr>
          <w:ilvl w:val="0"/>
          <w:numId w:val="12"/>
        </w:numPr>
        <w:rPr>
          <w:rFonts w:cs="Arial"/>
          <w:szCs w:val="20"/>
        </w:rPr>
      </w:pPr>
      <w:r w:rsidRPr="00987C7F">
        <w:rPr>
          <w:rFonts w:cs="Arial"/>
          <w:szCs w:val="20"/>
        </w:rPr>
        <w:t xml:space="preserve">The establishment of an </w:t>
      </w:r>
      <w:r w:rsidRPr="00987C7F">
        <w:rPr>
          <w:rFonts w:cs="Arial"/>
          <w:szCs w:val="20"/>
          <w:lang w:val="en-US"/>
        </w:rPr>
        <w:t xml:space="preserve">Assistive Technology Team in </w:t>
      </w:r>
      <w:r w:rsidRPr="00987C7F">
        <w:rPr>
          <w:rFonts w:cs="Arial"/>
          <w:szCs w:val="20"/>
        </w:rPr>
        <w:t xml:space="preserve">the Information and Communications Technology Division provides </w:t>
      </w:r>
      <w:r w:rsidRPr="00987C7F">
        <w:rPr>
          <w:rFonts w:cs="Arial"/>
          <w:szCs w:val="20"/>
          <w:lang w:val="en-US"/>
        </w:rPr>
        <w:t>support to staff and students with disabilities who use this technology.</w:t>
      </w:r>
    </w:p>
    <w:p w:rsidR="00165722" w:rsidRPr="00110FA1" w:rsidRDefault="00165722" w:rsidP="00110FA1">
      <w:pPr>
        <w:numPr>
          <w:ilvl w:val="0"/>
          <w:numId w:val="12"/>
        </w:numPr>
        <w:rPr>
          <w:rFonts w:cs="Arial"/>
          <w:szCs w:val="20"/>
        </w:rPr>
      </w:pPr>
      <w:r w:rsidRPr="00987C7F">
        <w:rPr>
          <w:rFonts w:cs="Arial"/>
          <w:szCs w:val="20"/>
        </w:rPr>
        <w:t xml:space="preserve">The University has loaned additional hardware and software students through Disability Services, and has used it as an adjustment for examinations. </w:t>
      </w:r>
    </w:p>
    <w:p w:rsidR="00165722" w:rsidRPr="00987C7F" w:rsidRDefault="00165722" w:rsidP="00110FA1">
      <w:r w:rsidRPr="00987C7F">
        <w:t>Human Resources</w:t>
      </w:r>
    </w:p>
    <w:p w:rsidR="00165722" w:rsidRPr="00987C7F" w:rsidRDefault="00165722" w:rsidP="00004DED">
      <w:pPr>
        <w:numPr>
          <w:ilvl w:val="0"/>
          <w:numId w:val="12"/>
        </w:numPr>
        <w:rPr>
          <w:rFonts w:cs="Arial"/>
          <w:szCs w:val="20"/>
        </w:rPr>
      </w:pPr>
      <w:r w:rsidRPr="00987C7F">
        <w:rPr>
          <w:rFonts w:cs="Arial"/>
          <w:szCs w:val="20"/>
        </w:rPr>
        <w:t>The University has established a Disabil</w:t>
      </w:r>
      <w:r w:rsidR="007E3653">
        <w:rPr>
          <w:rFonts w:cs="Arial"/>
          <w:szCs w:val="20"/>
        </w:rPr>
        <w:t>ity Consultative Committee and student disability liaison o</w:t>
      </w:r>
      <w:r w:rsidRPr="00987C7F">
        <w:rPr>
          <w:rFonts w:cs="Arial"/>
          <w:szCs w:val="20"/>
        </w:rPr>
        <w:t>fficers.</w:t>
      </w:r>
    </w:p>
    <w:p w:rsidR="00165722" w:rsidRPr="00987C7F" w:rsidRDefault="00165722" w:rsidP="00004DED">
      <w:pPr>
        <w:numPr>
          <w:ilvl w:val="0"/>
          <w:numId w:val="12"/>
        </w:numPr>
        <w:rPr>
          <w:rFonts w:cs="Arial"/>
          <w:szCs w:val="20"/>
        </w:rPr>
      </w:pPr>
      <w:r w:rsidRPr="00987C7F">
        <w:rPr>
          <w:rFonts w:cs="Arial"/>
          <w:szCs w:val="20"/>
        </w:rPr>
        <w:t xml:space="preserve">The University has improved human resources processes and training of staff through disability awareness training. </w:t>
      </w:r>
    </w:p>
    <w:p w:rsidR="00165722" w:rsidRPr="00987C7F" w:rsidRDefault="00165722" w:rsidP="00004DED">
      <w:pPr>
        <w:numPr>
          <w:ilvl w:val="0"/>
          <w:numId w:val="12"/>
        </w:numPr>
        <w:rPr>
          <w:rFonts w:cs="Arial"/>
          <w:szCs w:val="20"/>
        </w:rPr>
      </w:pPr>
      <w:r w:rsidRPr="00987C7F">
        <w:rPr>
          <w:rFonts w:cs="Arial"/>
          <w:szCs w:val="20"/>
        </w:rPr>
        <w:t xml:space="preserve">The recently established </w:t>
      </w:r>
      <w:proofErr w:type="spellStart"/>
      <w:r w:rsidRPr="00987C7F">
        <w:rPr>
          <w:rFonts w:cs="Arial"/>
          <w:szCs w:val="20"/>
        </w:rPr>
        <w:t>Laffan</w:t>
      </w:r>
      <w:proofErr w:type="spellEnd"/>
      <w:r w:rsidRPr="00987C7F">
        <w:rPr>
          <w:rFonts w:cs="Arial"/>
          <w:szCs w:val="20"/>
        </w:rPr>
        <w:t xml:space="preserve"> Fellowship aims to assist University researchers who have, or have experienced, a significant disability to re-establish or enhance their academic research careers. It provides academic staff with relief from routine teaching and administrative responsibilities, and supports research-only staff with funding to secure technical assistance, for up to two semesters.</w:t>
      </w:r>
    </w:p>
    <w:p w:rsidR="00165722" w:rsidRPr="00987C7F" w:rsidRDefault="00165722" w:rsidP="00A129C9">
      <w:r w:rsidRPr="00987C7F">
        <w:t>Campus Infrastructure and Services</w:t>
      </w:r>
    </w:p>
    <w:p w:rsidR="00165722" w:rsidRPr="00987C7F" w:rsidRDefault="00165722" w:rsidP="00004DED">
      <w:pPr>
        <w:numPr>
          <w:ilvl w:val="0"/>
          <w:numId w:val="12"/>
        </w:numPr>
        <w:rPr>
          <w:rFonts w:cs="Arial"/>
          <w:szCs w:val="20"/>
          <w:lang w:val="en-US"/>
        </w:rPr>
      </w:pPr>
      <w:r w:rsidRPr="00987C7F">
        <w:rPr>
          <w:rFonts w:cs="Arial"/>
          <w:szCs w:val="20"/>
          <w:lang w:val="en-US"/>
        </w:rPr>
        <w:t xml:space="preserve">In 2008 two building and landscape works were completed to improve access to the eastern half of the </w:t>
      </w:r>
      <w:proofErr w:type="spellStart"/>
      <w:r w:rsidRPr="00987C7F">
        <w:rPr>
          <w:rFonts w:cs="Arial"/>
          <w:szCs w:val="20"/>
          <w:lang w:val="en-US"/>
        </w:rPr>
        <w:t>Camperdown</w:t>
      </w:r>
      <w:proofErr w:type="spellEnd"/>
      <w:r w:rsidRPr="00987C7F">
        <w:rPr>
          <w:rFonts w:cs="Arial"/>
          <w:szCs w:val="20"/>
          <w:lang w:val="en-US"/>
        </w:rPr>
        <w:t xml:space="preserve"> and Darlington campuses. Plans for the project identified that the </w:t>
      </w:r>
      <w:proofErr w:type="spellStart"/>
      <w:r w:rsidRPr="00987C7F">
        <w:rPr>
          <w:rFonts w:cs="Arial"/>
          <w:szCs w:val="20"/>
          <w:lang w:val="en-US"/>
        </w:rPr>
        <w:t>centre</w:t>
      </w:r>
      <w:proofErr w:type="spellEnd"/>
      <w:r w:rsidRPr="00987C7F">
        <w:rPr>
          <w:rFonts w:cs="Arial"/>
          <w:szCs w:val="20"/>
          <w:lang w:val="en-US"/>
        </w:rPr>
        <w:t xml:space="preserve"> for undergraduate teaching was Eastern Avenue and that the area required </w:t>
      </w:r>
      <w:proofErr w:type="spellStart"/>
      <w:r w:rsidRPr="00987C7F">
        <w:rPr>
          <w:rFonts w:cs="Arial"/>
          <w:szCs w:val="20"/>
          <w:lang w:val="en-US"/>
        </w:rPr>
        <w:t>modernising</w:t>
      </w:r>
      <w:proofErr w:type="spellEnd"/>
      <w:r w:rsidRPr="00987C7F">
        <w:rPr>
          <w:rFonts w:cs="Arial"/>
          <w:szCs w:val="20"/>
          <w:lang w:val="en-US"/>
        </w:rPr>
        <w:t xml:space="preserve"> to cope with the expected increase in students. The two projects removed barriers to the most densely populated part of the campus for undergraduate students.</w:t>
      </w:r>
    </w:p>
    <w:p w:rsidR="00165722" w:rsidRPr="00987C7F" w:rsidRDefault="00165722" w:rsidP="00004DED">
      <w:pPr>
        <w:numPr>
          <w:ilvl w:val="0"/>
          <w:numId w:val="12"/>
        </w:numPr>
        <w:rPr>
          <w:rFonts w:cs="Arial"/>
          <w:szCs w:val="20"/>
        </w:rPr>
      </w:pPr>
      <w:r w:rsidRPr="00987C7F">
        <w:rPr>
          <w:rFonts w:cs="Arial"/>
          <w:szCs w:val="20"/>
          <w:lang w:val="en-US"/>
        </w:rPr>
        <w:t>Refurbishments to improve access to the campus through the construction of the Jane Foss Russell Building and the City Rd pedestrian bridge began in 2003 and were completed in 2008.</w:t>
      </w:r>
    </w:p>
    <w:p w:rsidR="00165722" w:rsidRPr="00987C7F" w:rsidRDefault="00165722" w:rsidP="00004DED">
      <w:pPr>
        <w:numPr>
          <w:ilvl w:val="0"/>
          <w:numId w:val="12"/>
        </w:numPr>
        <w:rPr>
          <w:rFonts w:cs="Arial"/>
          <w:szCs w:val="20"/>
        </w:rPr>
      </w:pPr>
      <w:r w:rsidRPr="00987C7F">
        <w:rPr>
          <w:rFonts w:cs="Arial"/>
          <w:szCs w:val="20"/>
          <w:lang w:val="en-US"/>
        </w:rPr>
        <w:t xml:space="preserve">In 2010 Campus Infrastructure and Services (CIS) commenced a survey and audit of 170 buildings and campuses to review the projects completed and identify a future </w:t>
      </w:r>
      <w:proofErr w:type="spellStart"/>
      <w:r w:rsidRPr="00987C7F">
        <w:rPr>
          <w:rFonts w:cs="Arial"/>
          <w:szCs w:val="20"/>
          <w:lang w:val="en-US"/>
        </w:rPr>
        <w:t>masterplan</w:t>
      </w:r>
      <w:proofErr w:type="spellEnd"/>
      <w:r w:rsidRPr="00987C7F">
        <w:rPr>
          <w:rFonts w:cs="Arial"/>
          <w:szCs w:val="20"/>
          <w:lang w:val="en-US"/>
        </w:rPr>
        <w:t xml:space="preserve"> for access – the Accessible Environment Plan. The priority list from the plan forms the basis for access projects CIS is undertaking between 2013 and 2017</w:t>
      </w:r>
      <w:r w:rsidR="001A25F3">
        <w:rPr>
          <w:rFonts w:cs="Arial"/>
          <w:szCs w:val="20"/>
          <w:lang w:val="en-US"/>
        </w:rPr>
        <w:t>.</w:t>
      </w:r>
    </w:p>
    <w:p w:rsidR="00165722" w:rsidRPr="00987C7F" w:rsidRDefault="00165722" w:rsidP="00004DED">
      <w:pPr>
        <w:numPr>
          <w:ilvl w:val="0"/>
          <w:numId w:val="12"/>
        </w:numPr>
        <w:rPr>
          <w:rFonts w:cs="Arial"/>
          <w:szCs w:val="20"/>
          <w:lang w:val="en-US"/>
        </w:rPr>
      </w:pPr>
      <w:r w:rsidRPr="00987C7F">
        <w:rPr>
          <w:rFonts w:cs="Arial"/>
          <w:szCs w:val="20"/>
          <w:lang w:val="en-US"/>
        </w:rPr>
        <w:t>Refurbishments to the Physics, Edward Ford and Institute buildings began in 2010–11 and included the installation of new lifts, ramps and accessible toilets. They were completed in 2012.</w:t>
      </w:r>
    </w:p>
    <w:p w:rsidR="00165722" w:rsidRPr="00110FA1" w:rsidRDefault="00165722" w:rsidP="00165722">
      <w:pPr>
        <w:numPr>
          <w:ilvl w:val="0"/>
          <w:numId w:val="12"/>
        </w:numPr>
        <w:rPr>
          <w:rFonts w:cs="Arial"/>
          <w:szCs w:val="20"/>
          <w:lang w:val="en-US"/>
        </w:rPr>
      </w:pPr>
      <w:r w:rsidRPr="00987C7F">
        <w:rPr>
          <w:rFonts w:cs="Arial"/>
          <w:szCs w:val="20"/>
          <w:lang w:val="en-US"/>
        </w:rPr>
        <w:lastRenderedPageBreak/>
        <w:t>Refurbishment of the Fisher Library began in 2008 and included new lifts and an upgrade to comply with the current Access to Premises Standards. Access upgrades were completed in 2012.</w:t>
      </w:r>
    </w:p>
    <w:p w:rsidR="00165722" w:rsidRPr="00110FA1" w:rsidRDefault="00165722" w:rsidP="00110FA1">
      <w:pPr>
        <w:pStyle w:val="Heading2"/>
      </w:pPr>
      <w:bookmarkStart w:id="23" w:name="_Toc357508220"/>
      <w:r w:rsidRPr="00987C7F">
        <w:t>Development of the Disability Action Plan and consulTation phase</w:t>
      </w:r>
      <w:bookmarkEnd w:id="23"/>
    </w:p>
    <w:p w:rsidR="00165722" w:rsidRPr="00987C7F" w:rsidRDefault="00165722" w:rsidP="00165722">
      <w:pPr>
        <w:rPr>
          <w:rFonts w:cs="Arial"/>
          <w:szCs w:val="20"/>
        </w:rPr>
      </w:pPr>
      <w:r w:rsidRPr="00987C7F">
        <w:rPr>
          <w:rFonts w:cs="Arial"/>
          <w:szCs w:val="20"/>
        </w:rPr>
        <w:t>A Disability Action Plan Development Group was set up by the Senior Executive Group to guide the development of the action plan. The Development Group consists of representatives from across the University including student</w:t>
      </w:r>
      <w:r w:rsidR="007E3653">
        <w:rPr>
          <w:rFonts w:cs="Arial"/>
          <w:szCs w:val="20"/>
        </w:rPr>
        <w:t>s</w:t>
      </w:r>
      <w:r w:rsidRPr="00987C7F">
        <w:rPr>
          <w:rFonts w:cs="Arial"/>
          <w:szCs w:val="20"/>
        </w:rPr>
        <w:t xml:space="preserve"> and staff with disabilities. The Development Group has assisted in the review of progress achieved since the last Disability Action Plan and in setting goals to address access. The University recognises that while progress has been made on eliminating inequity and fostering an environment of inclusion and access, there is still more work to be done.</w:t>
      </w:r>
    </w:p>
    <w:p w:rsidR="00165722" w:rsidRPr="00987C7F" w:rsidRDefault="00165722" w:rsidP="00165722">
      <w:pPr>
        <w:rPr>
          <w:rFonts w:cs="Arial"/>
          <w:szCs w:val="20"/>
        </w:rPr>
      </w:pPr>
      <w:r w:rsidRPr="00987C7F">
        <w:rPr>
          <w:rFonts w:cs="Arial"/>
          <w:szCs w:val="20"/>
        </w:rPr>
        <w:t>The University has also been thorough in its approach to consult all members of the University community and to engage all staff and student views. During 2012, all students and staff were invited to attend University-wide disability action plan workshops. In addition, the University conducted a comprehensive staff and student survey to further understand the current level of access and inclusion issues within all areas of the University. A survey report is attached in the appendix.</w:t>
      </w:r>
    </w:p>
    <w:p w:rsidR="00165722" w:rsidRPr="00987C7F" w:rsidRDefault="00165722" w:rsidP="00165722">
      <w:pPr>
        <w:rPr>
          <w:rFonts w:cs="Arial"/>
          <w:szCs w:val="20"/>
        </w:rPr>
      </w:pPr>
      <w:r w:rsidRPr="00987C7F">
        <w:rPr>
          <w:rFonts w:cs="Arial"/>
          <w:szCs w:val="20"/>
        </w:rPr>
        <w:t>Data and feedback were summarised by the project team and discussed with the Development Group to inform the development of the Disability Action Plan.</w:t>
      </w:r>
    </w:p>
    <w:p w:rsidR="00165722" w:rsidRPr="00110FA1" w:rsidRDefault="00165722" w:rsidP="00110FA1">
      <w:pPr>
        <w:pStyle w:val="Heading2"/>
      </w:pPr>
      <w:bookmarkStart w:id="24" w:name="_Toc357508221"/>
      <w:r w:rsidRPr="00987C7F">
        <w:t>Review and Evaluation</w:t>
      </w:r>
      <w:bookmarkEnd w:id="24"/>
    </w:p>
    <w:p w:rsidR="00165722" w:rsidRPr="00987C7F" w:rsidRDefault="00165722" w:rsidP="00165722">
      <w:pPr>
        <w:pStyle w:val="Normal1"/>
        <w:rPr>
          <w:rFonts w:ascii="Arial" w:hAnsi="Arial" w:cs="Arial"/>
          <w:color w:val="auto"/>
          <w:sz w:val="20"/>
          <w:szCs w:val="20"/>
        </w:rPr>
      </w:pPr>
      <w:r w:rsidRPr="00987C7F">
        <w:rPr>
          <w:rFonts w:ascii="Arial" w:hAnsi="Arial" w:cs="Arial"/>
          <w:color w:val="auto"/>
          <w:sz w:val="20"/>
          <w:szCs w:val="20"/>
        </w:rPr>
        <w:t>This Disability Action Plan is an evolving plan of action and therefore it requires ongoing review, evaluation and monitoring to ensure its implementation. The University will review, evaluate and monitor the plan in the following ways:</w:t>
      </w:r>
    </w:p>
    <w:p w:rsidR="00165722" w:rsidRPr="00987C7F" w:rsidRDefault="00165722" w:rsidP="00165722">
      <w:pPr>
        <w:pStyle w:val="Normal1"/>
        <w:rPr>
          <w:rFonts w:ascii="Arial" w:hAnsi="Arial" w:cs="Arial"/>
          <w:color w:val="auto"/>
          <w:sz w:val="20"/>
          <w:szCs w:val="20"/>
        </w:rPr>
      </w:pPr>
    </w:p>
    <w:p w:rsidR="00165722" w:rsidRPr="00987C7F" w:rsidRDefault="00165722" w:rsidP="00004DED">
      <w:pPr>
        <w:pStyle w:val="Normal1"/>
        <w:numPr>
          <w:ilvl w:val="0"/>
          <w:numId w:val="11"/>
        </w:numPr>
        <w:tabs>
          <w:tab w:val="left" w:pos="426"/>
        </w:tabs>
        <w:rPr>
          <w:rFonts w:ascii="Arial" w:eastAsia="Arial Narrow" w:hAnsi="Arial" w:cs="Arial Narrow"/>
          <w:color w:val="auto"/>
          <w:sz w:val="20"/>
          <w:szCs w:val="20"/>
        </w:rPr>
      </w:pPr>
      <w:r w:rsidRPr="00987C7F">
        <w:rPr>
          <w:rFonts w:ascii="Arial" w:hAnsi="Arial" w:cs="Arial"/>
          <w:color w:val="auto"/>
          <w:sz w:val="20"/>
          <w:szCs w:val="20"/>
        </w:rPr>
        <w:t xml:space="preserve">As outlined in this Disability Action Plan a number of governance structures will be established to ensure the implementation of the plan, including a </w:t>
      </w:r>
      <w:r w:rsidRPr="00987C7F">
        <w:rPr>
          <w:rFonts w:ascii="Arial" w:eastAsia="Arial Narrow" w:hAnsi="Arial" w:cs="Arial Narrow"/>
          <w:color w:val="auto"/>
          <w:sz w:val="20"/>
          <w:szCs w:val="20"/>
        </w:rPr>
        <w:t>sub-committee of the Senior Executive Group; a University Consultative Committee (which reports to a Senior Executive Group Sub-Committee) and local (faculty/business unit) disability/equity committees (which report to faculty and divisional boards and</w:t>
      </w:r>
      <w:r w:rsidR="007E3653">
        <w:rPr>
          <w:rFonts w:ascii="Arial" w:eastAsia="Arial Narrow" w:hAnsi="Arial" w:cs="Arial Narrow"/>
          <w:color w:val="auto"/>
          <w:sz w:val="20"/>
          <w:szCs w:val="20"/>
        </w:rPr>
        <w:t xml:space="preserve"> the</w:t>
      </w:r>
      <w:r w:rsidRPr="00987C7F">
        <w:rPr>
          <w:rFonts w:ascii="Arial" w:eastAsia="Arial Narrow" w:hAnsi="Arial" w:cs="Arial Narrow"/>
          <w:color w:val="auto"/>
          <w:sz w:val="20"/>
          <w:szCs w:val="20"/>
        </w:rPr>
        <w:t xml:space="preserve"> Senior Executive Group Sub-Committee).</w:t>
      </w:r>
    </w:p>
    <w:p w:rsidR="00165722" w:rsidRPr="00987C7F" w:rsidRDefault="00165722" w:rsidP="00165722">
      <w:pPr>
        <w:pStyle w:val="Normal1"/>
        <w:rPr>
          <w:rFonts w:ascii="Arial" w:eastAsia="Arial Narrow" w:hAnsi="Arial" w:cs="Arial Narrow"/>
          <w:color w:val="auto"/>
          <w:sz w:val="20"/>
          <w:szCs w:val="20"/>
        </w:rPr>
      </w:pPr>
    </w:p>
    <w:p w:rsidR="00165722" w:rsidRPr="00987C7F" w:rsidRDefault="00165722" w:rsidP="00004DED">
      <w:pPr>
        <w:pStyle w:val="ColorfulList-Accent11"/>
        <w:numPr>
          <w:ilvl w:val="0"/>
          <w:numId w:val="11"/>
        </w:numPr>
        <w:rPr>
          <w:rFonts w:cs="Arial"/>
          <w:szCs w:val="20"/>
        </w:rPr>
      </w:pPr>
      <w:r w:rsidRPr="00987C7F">
        <w:rPr>
          <w:rFonts w:eastAsia="Arial Narrow" w:cs="Arial Narrow"/>
          <w:szCs w:val="20"/>
        </w:rPr>
        <w:t>Quarterly reports will be provided to the Senior Executive Group on the implementation, progress and outstanding issues for resolution of the action plan.</w:t>
      </w:r>
    </w:p>
    <w:p w:rsidR="00165722" w:rsidRPr="00987C7F" w:rsidRDefault="00165722" w:rsidP="00165722">
      <w:pPr>
        <w:pStyle w:val="ColorfulList-Accent11"/>
        <w:ind w:left="360"/>
        <w:rPr>
          <w:rFonts w:cs="Arial"/>
          <w:szCs w:val="20"/>
        </w:rPr>
      </w:pPr>
    </w:p>
    <w:p w:rsidR="00165722" w:rsidRPr="00110FA1" w:rsidRDefault="00165722" w:rsidP="00165722">
      <w:pPr>
        <w:pStyle w:val="ColorfulList-Accent11"/>
        <w:numPr>
          <w:ilvl w:val="0"/>
          <w:numId w:val="11"/>
        </w:numPr>
        <w:rPr>
          <w:rFonts w:cs="Arial"/>
          <w:szCs w:val="20"/>
        </w:rPr>
      </w:pPr>
      <w:r w:rsidRPr="00987C7F">
        <w:rPr>
          <w:rFonts w:eastAsia="Arial Narrow" w:cs="Arial Narrow"/>
          <w:szCs w:val="20"/>
        </w:rPr>
        <w:t>An annual survey of staff and students will be conducted to capture data on disabilities and to monitor and evaluate the success of the Disability Action Plan, including measures of the culture of inclusivity within the University.</w:t>
      </w:r>
    </w:p>
    <w:p w:rsidR="00165722" w:rsidRPr="00987C7F" w:rsidRDefault="00165722" w:rsidP="00165722">
      <w:pPr>
        <w:rPr>
          <w:rFonts w:cs="Arial"/>
          <w:szCs w:val="20"/>
        </w:rPr>
      </w:pPr>
      <w:r w:rsidRPr="00987C7F">
        <w:rPr>
          <w:rFonts w:cs="Arial"/>
          <w:szCs w:val="20"/>
        </w:rPr>
        <w:t xml:space="preserve">Importantly, the University’s students, staff and visitors will be consulted as part of the review and evaluation process. </w:t>
      </w:r>
    </w:p>
    <w:p w:rsidR="00165722" w:rsidRPr="00110FA1" w:rsidRDefault="00165722" w:rsidP="00165722">
      <w:pPr>
        <w:rPr>
          <w:rFonts w:cs="Arial"/>
          <w:szCs w:val="20"/>
        </w:rPr>
      </w:pPr>
      <w:r w:rsidRPr="00987C7F">
        <w:rPr>
          <w:rFonts w:cs="Arial"/>
          <w:szCs w:val="20"/>
        </w:rPr>
        <w:t>While particular heads of faculties and administrative units are listed as being responsible for particular strategies and outcomes of the action plan, all staff and students are expected to play a part in addressing the access and inclusion of people with disabilities.</w:t>
      </w:r>
    </w:p>
    <w:p w:rsidR="0067137E" w:rsidRDefault="0067137E">
      <w:pPr>
        <w:spacing w:before="0" w:after="0"/>
        <w:rPr>
          <w:rFonts w:cs="Arial"/>
          <w:b/>
          <w:bCs/>
          <w:caps/>
          <w:szCs w:val="20"/>
        </w:rPr>
      </w:pPr>
      <w:r>
        <w:br w:type="page"/>
      </w:r>
    </w:p>
    <w:p w:rsidR="00165722" w:rsidRPr="00987C7F" w:rsidRDefault="00165722" w:rsidP="00110FA1">
      <w:pPr>
        <w:pStyle w:val="Heading2"/>
      </w:pPr>
      <w:bookmarkStart w:id="25" w:name="_Toc357508222"/>
      <w:r w:rsidRPr="00987C7F">
        <w:lastRenderedPageBreak/>
        <w:t>CONTINUAL CONSULTATION WITH STUDENTS, STAFF AND VISITORS</w:t>
      </w:r>
      <w:bookmarkEnd w:id="25"/>
    </w:p>
    <w:p w:rsidR="00E7587E" w:rsidRDefault="00165722" w:rsidP="00165722">
      <w:pPr>
        <w:rPr>
          <w:rFonts w:cs="Arial"/>
          <w:szCs w:val="20"/>
        </w:rPr>
      </w:pPr>
      <w:r w:rsidRPr="00987C7F">
        <w:rPr>
          <w:rFonts w:cs="Arial"/>
          <w:szCs w:val="20"/>
        </w:rPr>
        <w:t>This Disability Action Plan is evolving and, in order to keep it relevant, the University welcomes input or feedback from students, staff and visitors about any matter regarding access and inclusion. Please contact:</w:t>
      </w:r>
    </w:p>
    <w:p w:rsidR="00165722" w:rsidRPr="00987C7F" w:rsidRDefault="00E7587E" w:rsidP="00165722">
      <w:pPr>
        <w:rPr>
          <w:rFonts w:cs="Arial"/>
          <w:szCs w:val="20"/>
        </w:rPr>
      </w:pPr>
      <w:r>
        <w:rPr>
          <w:rFonts w:cs="Arial"/>
          <w:szCs w:val="20"/>
        </w:rPr>
        <w:t>Disability Services</w:t>
      </w:r>
    </w:p>
    <w:p w:rsidR="00165722" w:rsidRPr="00987C7F" w:rsidRDefault="00E7587E" w:rsidP="00165722">
      <w:pPr>
        <w:rPr>
          <w:rFonts w:cs="Arial"/>
          <w:szCs w:val="20"/>
        </w:rPr>
      </w:pPr>
      <w:r w:rsidRPr="00E7587E">
        <w:rPr>
          <w:rFonts w:cs="Arial"/>
          <w:b/>
          <w:szCs w:val="20"/>
        </w:rPr>
        <w:t xml:space="preserve">T </w:t>
      </w:r>
      <w:r>
        <w:rPr>
          <w:rFonts w:cs="Arial"/>
          <w:szCs w:val="20"/>
        </w:rPr>
        <w:t>+61 2 8627 8526</w:t>
      </w:r>
    </w:p>
    <w:p w:rsidR="00165722" w:rsidRDefault="00E7587E" w:rsidP="00165722">
      <w:pPr>
        <w:rPr>
          <w:rFonts w:cs="Arial"/>
          <w:szCs w:val="20"/>
        </w:rPr>
      </w:pPr>
      <w:r>
        <w:rPr>
          <w:rFonts w:cs="Arial"/>
          <w:szCs w:val="20"/>
        </w:rPr>
        <w:t xml:space="preserve">E </w:t>
      </w:r>
      <w:hyperlink r:id="rId9" w:history="1">
        <w:r w:rsidRPr="00AA3B3D">
          <w:rPr>
            <w:rStyle w:val="Hyperlink"/>
            <w:rFonts w:cs="Arial"/>
            <w:szCs w:val="20"/>
          </w:rPr>
          <w:t>ds.dap@sydney.edu.au</w:t>
        </w:r>
      </w:hyperlink>
    </w:p>
    <w:p w:rsidR="00665821" w:rsidRDefault="001D6FD7" w:rsidP="00665821">
      <w:hyperlink r:id="rId10" w:history="1">
        <w:r w:rsidR="00110FA1" w:rsidRPr="00E13036">
          <w:rPr>
            <w:rStyle w:val="Hyperlink"/>
            <w:rFonts w:cs="Arial"/>
          </w:rPr>
          <w:t>www.sydney.edu.au/disability</w:t>
        </w:r>
      </w:hyperlink>
      <w:r w:rsidR="00110FA1">
        <w:t xml:space="preserve"> </w:t>
      </w:r>
    </w:p>
    <w:p w:rsidR="0067137E" w:rsidRDefault="0067137E">
      <w:pPr>
        <w:spacing w:before="0" w:after="0"/>
        <w:rPr>
          <w:rFonts w:eastAsia="Arial Narrow" w:cs="Arial"/>
          <w:b/>
          <w:caps/>
          <w:sz w:val="28"/>
          <w:szCs w:val="28"/>
        </w:rPr>
      </w:pPr>
      <w:r>
        <w:rPr>
          <w:rFonts w:eastAsia="Arial Narrow"/>
        </w:rPr>
        <w:br w:type="page"/>
      </w:r>
    </w:p>
    <w:p w:rsidR="00165722" w:rsidRPr="00110FA1" w:rsidRDefault="00165722" w:rsidP="00665821">
      <w:pPr>
        <w:pStyle w:val="Heading1"/>
      </w:pPr>
      <w:bookmarkStart w:id="26" w:name="_Toc357508223"/>
      <w:r w:rsidRPr="00665821">
        <w:rPr>
          <w:rFonts w:eastAsia="Arial Narrow"/>
        </w:rPr>
        <w:lastRenderedPageBreak/>
        <w:t>Disability Action Plan 2013–18</w:t>
      </w:r>
      <w:bookmarkEnd w:id="26"/>
    </w:p>
    <w:p w:rsidR="00165722" w:rsidRPr="00987C7F" w:rsidRDefault="00110FA1" w:rsidP="00E1390B">
      <w:pPr>
        <w:pStyle w:val="Heading3"/>
      </w:pPr>
      <w:bookmarkStart w:id="27" w:name="_Toc357508224"/>
      <w:r>
        <w:t>Objective 1: T</w:t>
      </w:r>
      <w:r w:rsidR="000A5190">
        <w:t>he</w:t>
      </w:r>
      <w:r w:rsidR="00165722" w:rsidRPr="00987C7F">
        <w:t xml:space="preserve"> </w:t>
      </w:r>
      <w:r w:rsidR="00165722" w:rsidRPr="00E1390B">
        <w:t>University</w:t>
      </w:r>
      <w:r w:rsidR="00165722" w:rsidRPr="00987C7F">
        <w:t xml:space="preserve"> incorporates the rights and opportunities of people with disabilities in all policies and planning.</w:t>
      </w:r>
      <w:bookmarkEnd w:id="27"/>
      <w:r w:rsidR="00165722" w:rsidRPr="00987C7F">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43"/>
        <w:gridCol w:w="3260"/>
        <w:gridCol w:w="3119"/>
        <w:gridCol w:w="1559"/>
      </w:tblGrid>
      <w:tr w:rsidR="006C36AF" w:rsidRPr="00987C7F" w:rsidTr="006C36AF">
        <w:tc>
          <w:tcPr>
            <w:tcW w:w="1843"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Strategy</w:t>
            </w:r>
          </w:p>
        </w:tc>
        <w:tc>
          <w:tcPr>
            <w:tcW w:w="3260"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Outcome</w:t>
            </w:r>
          </w:p>
        </w:tc>
        <w:tc>
          <w:tcPr>
            <w:tcW w:w="3119"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Key responsibilities</w:t>
            </w:r>
          </w:p>
        </w:tc>
        <w:tc>
          <w:tcPr>
            <w:tcW w:w="1559"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Target date</w:t>
            </w:r>
          </w:p>
        </w:tc>
      </w:tr>
      <w:tr w:rsidR="006C36AF" w:rsidRPr="00987C7F" w:rsidTr="006C36AF">
        <w:trPr>
          <w:trHeight w:val="506"/>
        </w:trPr>
        <w:tc>
          <w:tcPr>
            <w:tcW w:w="1843" w:type="dxa"/>
            <w:vMerge w:val="restart"/>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color w:val="auto"/>
                <w:sz w:val="20"/>
                <w:szCs w:val="20"/>
              </w:rPr>
              <w:t>1.1 The Disability Action Plan is effectively implemented</w:t>
            </w:r>
          </w:p>
        </w:tc>
        <w:tc>
          <w:tcPr>
            <w:tcW w:w="3260" w:type="dxa"/>
            <w:tcBorders>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Formal endorsement of the Disability Action Plan 2013–18 by the University.</w:t>
            </w:r>
          </w:p>
          <w:p w:rsidR="00DB76D8" w:rsidRPr="00987C7F" w:rsidRDefault="00DB76D8" w:rsidP="00165722">
            <w:pPr>
              <w:pStyle w:val="Normal1"/>
              <w:rPr>
                <w:rFonts w:ascii="Arial" w:hAnsi="Arial"/>
                <w:color w:val="auto"/>
                <w:sz w:val="20"/>
                <w:szCs w:val="20"/>
              </w:rPr>
            </w:pPr>
          </w:p>
        </w:tc>
        <w:tc>
          <w:tcPr>
            <w:tcW w:w="3119" w:type="dxa"/>
            <w:tcBorders>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color w:val="auto"/>
                <w:sz w:val="20"/>
                <w:szCs w:val="20"/>
              </w:rPr>
              <w:t>Senate</w:t>
            </w:r>
          </w:p>
        </w:tc>
        <w:tc>
          <w:tcPr>
            <w:tcW w:w="1559" w:type="dxa"/>
            <w:tcBorders>
              <w:bottom w:val="single" w:sz="4" w:space="0" w:color="auto"/>
            </w:tcBorders>
            <w:tcMar>
              <w:left w:w="108" w:type="dxa"/>
              <w:right w:w="108" w:type="dxa"/>
            </w:tcMar>
          </w:tcPr>
          <w:p w:rsidR="00510C19" w:rsidRPr="00987C7F" w:rsidRDefault="006A311B" w:rsidP="00165722">
            <w:pPr>
              <w:pStyle w:val="Normal1"/>
              <w:rPr>
                <w:rFonts w:ascii="Arial" w:hAnsi="Arial"/>
                <w:color w:val="auto"/>
                <w:sz w:val="20"/>
                <w:szCs w:val="20"/>
              </w:rPr>
            </w:pPr>
            <w:r>
              <w:rPr>
                <w:rFonts w:ascii="Arial" w:hAnsi="Arial"/>
                <w:color w:val="auto"/>
                <w:sz w:val="20"/>
                <w:szCs w:val="20"/>
              </w:rPr>
              <w:t>May</w:t>
            </w:r>
            <w:r w:rsidR="00510C19" w:rsidRPr="00987C7F">
              <w:rPr>
                <w:rFonts w:ascii="Arial" w:hAnsi="Arial"/>
                <w:color w:val="auto"/>
                <w:sz w:val="20"/>
                <w:szCs w:val="20"/>
              </w:rPr>
              <w:t xml:space="preserve"> 2013</w:t>
            </w:r>
          </w:p>
        </w:tc>
      </w:tr>
      <w:tr w:rsidR="006C36AF" w:rsidRPr="00987C7F" w:rsidTr="006C36AF">
        <w:trPr>
          <w:trHeight w:val="2215"/>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lang w:val="en-AU"/>
              </w:rPr>
            </w:pPr>
            <w:r w:rsidRPr="00987C7F">
              <w:rPr>
                <w:rFonts w:ascii="Arial" w:eastAsia="Arial Narrow" w:hAnsi="Arial" w:cs="Arial Narrow"/>
                <w:color w:val="auto"/>
                <w:sz w:val="20"/>
                <w:szCs w:val="20"/>
                <w:lang w:val="en-AU"/>
              </w:rPr>
              <w:t xml:space="preserve">Implementation of the Disability Action Plan and compliance with the </w:t>
            </w:r>
            <w:r w:rsidRPr="00987C7F">
              <w:rPr>
                <w:rFonts w:ascii="Arial" w:eastAsia="Arial Narrow" w:hAnsi="Arial" w:cs="Arial Narrow"/>
                <w:i/>
                <w:color w:val="auto"/>
                <w:sz w:val="20"/>
                <w:szCs w:val="20"/>
                <w:lang w:val="en-AU"/>
              </w:rPr>
              <w:t>Disability Discrimination Act 1992</w:t>
            </w:r>
            <w:r w:rsidRPr="00987C7F">
              <w:rPr>
                <w:rFonts w:ascii="Arial" w:eastAsia="Arial Narrow" w:hAnsi="Arial" w:cs="Arial Narrow"/>
                <w:color w:val="auto"/>
                <w:sz w:val="20"/>
                <w:szCs w:val="20"/>
                <w:lang w:val="en-AU"/>
              </w:rPr>
              <w:t xml:space="preserve"> (</w:t>
            </w:r>
            <w:proofErr w:type="spellStart"/>
            <w:r w:rsidRPr="00987C7F">
              <w:rPr>
                <w:rFonts w:ascii="Arial" w:eastAsia="Arial Narrow" w:hAnsi="Arial" w:cs="Arial Narrow"/>
                <w:color w:val="auto"/>
                <w:sz w:val="20"/>
                <w:szCs w:val="20"/>
                <w:lang w:val="en-AU"/>
              </w:rPr>
              <w:t>Cth</w:t>
            </w:r>
            <w:proofErr w:type="spellEnd"/>
            <w:r w:rsidRPr="00987C7F">
              <w:rPr>
                <w:rFonts w:ascii="Arial" w:eastAsia="Arial Narrow" w:hAnsi="Arial" w:cs="Arial Narrow"/>
                <w:color w:val="auto"/>
                <w:sz w:val="20"/>
                <w:szCs w:val="20"/>
                <w:lang w:val="en-AU"/>
              </w:rPr>
              <w:t xml:space="preserve">), </w:t>
            </w:r>
            <w:r w:rsidRPr="00987C7F">
              <w:rPr>
                <w:rFonts w:ascii="Arial" w:eastAsia="Arial Narrow" w:hAnsi="Arial" w:cs="Arial Narrow"/>
                <w:i/>
                <w:color w:val="auto"/>
                <w:sz w:val="20"/>
                <w:szCs w:val="20"/>
                <w:lang w:val="en-AU"/>
              </w:rPr>
              <w:t>Anti-Discrimination Act</w:t>
            </w:r>
            <w:r w:rsidRPr="00987C7F">
              <w:rPr>
                <w:rFonts w:ascii="Arial" w:eastAsia="Arial Narrow" w:hAnsi="Arial" w:cs="Arial Narrow"/>
                <w:color w:val="auto"/>
                <w:sz w:val="20"/>
                <w:szCs w:val="20"/>
                <w:lang w:val="en-AU"/>
              </w:rPr>
              <w:t xml:space="preserve"> 1977 (NSW) and </w:t>
            </w:r>
            <w:r w:rsidRPr="00987C7F">
              <w:rPr>
                <w:rFonts w:ascii="Arial" w:eastAsia="Arial Narrow" w:hAnsi="Arial" w:cs="Arial Narrow"/>
                <w:i/>
                <w:color w:val="auto"/>
                <w:sz w:val="20"/>
                <w:szCs w:val="20"/>
                <w:lang w:val="en-AU"/>
              </w:rPr>
              <w:t>Fair Work Act</w:t>
            </w:r>
            <w:r w:rsidRPr="00987C7F">
              <w:rPr>
                <w:rFonts w:ascii="Arial" w:eastAsia="Arial Narrow" w:hAnsi="Arial" w:cs="Arial Narrow"/>
                <w:color w:val="auto"/>
                <w:sz w:val="20"/>
                <w:szCs w:val="20"/>
                <w:lang w:val="en-AU"/>
              </w:rPr>
              <w:t xml:space="preserve"> 2009 (</w:t>
            </w:r>
            <w:proofErr w:type="spellStart"/>
            <w:r w:rsidRPr="00987C7F">
              <w:rPr>
                <w:rFonts w:ascii="Arial" w:eastAsia="Arial Narrow" w:hAnsi="Arial" w:cs="Arial Narrow"/>
                <w:color w:val="auto"/>
                <w:sz w:val="20"/>
                <w:szCs w:val="20"/>
                <w:lang w:val="en-AU"/>
              </w:rPr>
              <w:t>Cth</w:t>
            </w:r>
            <w:proofErr w:type="spellEnd"/>
            <w:r w:rsidRPr="00987C7F">
              <w:rPr>
                <w:rFonts w:ascii="Arial" w:eastAsia="Arial Narrow" w:hAnsi="Arial" w:cs="Arial Narrow"/>
                <w:color w:val="auto"/>
                <w:sz w:val="20"/>
                <w:szCs w:val="20"/>
                <w:lang w:val="en-AU"/>
              </w:rPr>
              <w:t>) as amended or replaced, and any other relevant laws. Compliance will be reported quarterly in the Senate Safety and Risk Management Committee report.</w:t>
            </w:r>
          </w:p>
          <w:p w:rsidR="00DB76D8" w:rsidRPr="00987C7F" w:rsidRDefault="00DB76D8" w:rsidP="00165722">
            <w:pPr>
              <w:pStyle w:val="Normal1"/>
              <w:rPr>
                <w:rFonts w:ascii="Arial" w:hAnsi="Arial"/>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color w:val="auto"/>
                <w:sz w:val="20"/>
                <w:szCs w:val="20"/>
              </w:rPr>
              <w:t>Director Human Resources</w:t>
            </w:r>
          </w:p>
          <w:p w:rsidR="00510C19" w:rsidRPr="00987C7F" w:rsidRDefault="00510C19" w:rsidP="00165722">
            <w:pPr>
              <w:pStyle w:val="Normal1"/>
              <w:rPr>
                <w:rFonts w:ascii="Arial" w:eastAsia="Arial Narrow" w:hAnsi="Arial" w:cs="Arial Narrow"/>
                <w:color w:val="auto"/>
                <w:sz w:val="20"/>
                <w:szCs w:val="20"/>
              </w:rPr>
            </w:pPr>
          </w:p>
        </w:tc>
        <w:tc>
          <w:tcPr>
            <w:tcW w:w="1559" w:type="dxa"/>
            <w:tcBorders>
              <w:top w:val="single" w:sz="4" w:space="0" w:color="auto"/>
              <w:bottom w:val="single" w:sz="4" w:space="0" w:color="auto"/>
            </w:tcBorders>
            <w:tcMar>
              <w:left w:w="108" w:type="dxa"/>
              <w:right w:w="108" w:type="dxa"/>
            </w:tcMar>
          </w:tcPr>
          <w:p w:rsidR="00510C19" w:rsidRPr="00987C7F" w:rsidRDefault="006A311B" w:rsidP="00165722">
            <w:pPr>
              <w:pStyle w:val="Normal1"/>
              <w:rPr>
                <w:rFonts w:ascii="Arial" w:hAnsi="Arial"/>
                <w:color w:val="auto"/>
                <w:sz w:val="20"/>
                <w:szCs w:val="20"/>
              </w:rPr>
            </w:pPr>
            <w:r>
              <w:rPr>
                <w:rFonts w:ascii="Arial" w:hAnsi="Arial"/>
                <w:color w:val="auto"/>
                <w:sz w:val="20"/>
                <w:szCs w:val="20"/>
              </w:rPr>
              <w:t>June</w:t>
            </w:r>
            <w:r w:rsidR="00510C19" w:rsidRPr="00987C7F">
              <w:rPr>
                <w:rFonts w:ascii="Arial" w:hAnsi="Arial"/>
                <w:color w:val="auto"/>
                <w:sz w:val="20"/>
                <w:szCs w:val="20"/>
              </w:rPr>
              <w:t xml:space="preserve"> 2013 </w:t>
            </w:r>
          </w:p>
        </w:tc>
      </w:tr>
      <w:tr w:rsidR="006C36AF" w:rsidRPr="00987C7F" w:rsidTr="006C36AF">
        <w:trPr>
          <w:trHeight w:val="3381"/>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Effective strategic and operational management structures established including: a sub-committee of the Senior Executive Group, with provision for the appointment of an elected student and staff representative; University Consultative Committee (reports to Senior Executive Group Sub-Committee); local (faculty/business unit) disability/equity committees (report to faculty and divisional boards and a Senior Executive Group Sub-Committee).</w:t>
            </w:r>
          </w:p>
          <w:p w:rsidR="00510C19" w:rsidRPr="00987C7F" w:rsidRDefault="00510C19" w:rsidP="00165722">
            <w:pPr>
              <w:pStyle w:val="Normal1"/>
              <w:rPr>
                <w:rFonts w:ascii="Arial" w:eastAsia="Arial Narrow" w:hAnsi="Arial" w:cs="Arial Narrow"/>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color w:val="auto"/>
                <w:sz w:val="20"/>
                <w:szCs w:val="20"/>
              </w:rPr>
              <w:t>Chair of Senior Executive Group Sub-Committee and Disability Action Plan Consultative Committee and</w:t>
            </w:r>
          </w:p>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 xml:space="preserve">chair of faculty/ administrative unit, disability/equity Committee (dean of faculty/director of business unit) </w:t>
            </w:r>
          </w:p>
        </w:tc>
        <w:tc>
          <w:tcPr>
            <w:tcW w:w="1559" w:type="dxa"/>
            <w:tcBorders>
              <w:top w:val="single" w:sz="4" w:space="0" w:color="auto"/>
              <w:bottom w:val="single" w:sz="4" w:space="0" w:color="auto"/>
            </w:tcBorders>
            <w:tcMar>
              <w:left w:w="108" w:type="dxa"/>
              <w:right w:w="108" w:type="dxa"/>
            </w:tcMar>
          </w:tcPr>
          <w:p w:rsidR="00510C19" w:rsidRPr="00987C7F" w:rsidRDefault="00510C19" w:rsidP="00A468C2">
            <w:pPr>
              <w:pStyle w:val="Normal1"/>
              <w:rPr>
                <w:rFonts w:ascii="Arial" w:hAnsi="Arial"/>
                <w:color w:val="auto"/>
                <w:sz w:val="20"/>
                <w:szCs w:val="20"/>
              </w:rPr>
            </w:pPr>
            <w:r w:rsidRPr="00987C7F">
              <w:rPr>
                <w:rFonts w:ascii="Arial" w:hAnsi="Arial"/>
                <w:color w:val="auto"/>
                <w:sz w:val="20"/>
                <w:szCs w:val="20"/>
              </w:rPr>
              <w:t>April–June 2013</w:t>
            </w:r>
          </w:p>
        </w:tc>
      </w:tr>
      <w:tr w:rsidR="006C36AF" w:rsidRPr="00987C7F" w:rsidTr="006C36AF">
        <w:trPr>
          <w:trHeight w:val="849"/>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Review and improvement of transparent reporting and consultative procedures.</w:t>
            </w:r>
          </w:p>
          <w:p w:rsidR="00510C19" w:rsidRPr="00987C7F" w:rsidRDefault="00510C19" w:rsidP="00165722">
            <w:pPr>
              <w:pStyle w:val="Normal1"/>
              <w:rPr>
                <w:rFonts w:ascii="Arial" w:hAnsi="Arial"/>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Senior Executive Group, Director, Human Resources and Director, Student Support Services</w:t>
            </w:r>
          </w:p>
          <w:p w:rsidR="00DB76D8" w:rsidRPr="00987C7F" w:rsidRDefault="00DB76D8" w:rsidP="00165722">
            <w:pPr>
              <w:pStyle w:val="Normal1"/>
              <w:rPr>
                <w:rFonts w:ascii="Arial" w:hAnsi="Arial"/>
                <w:color w:val="auto"/>
                <w:sz w:val="20"/>
                <w:szCs w:val="20"/>
              </w:rPr>
            </w:pP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June 2013</w:t>
            </w:r>
          </w:p>
          <w:p w:rsidR="00510C19" w:rsidRPr="00987C7F" w:rsidRDefault="00510C19" w:rsidP="00165722">
            <w:pPr>
              <w:pStyle w:val="Normal1"/>
              <w:rPr>
                <w:rFonts w:ascii="Arial" w:hAnsi="Arial"/>
                <w:color w:val="auto"/>
                <w:sz w:val="20"/>
                <w:szCs w:val="20"/>
              </w:rPr>
            </w:pPr>
          </w:p>
        </w:tc>
      </w:tr>
      <w:tr w:rsidR="006C36AF" w:rsidRPr="00987C7F" w:rsidTr="006C36AF">
        <w:trPr>
          <w:trHeight w:val="1131"/>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Clear and effective communication strategy developed to progress and promote the work of the Disability Action Plan.</w:t>
            </w:r>
          </w:p>
          <w:p w:rsidR="00DB76D8" w:rsidRPr="00987C7F" w:rsidRDefault="00DB76D8" w:rsidP="00165722">
            <w:pPr>
              <w:pStyle w:val="Normal1"/>
              <w:rPr>
                <w:rFonts w:ascii="Arial" w:eastAsia="Arial Narrow" w:hAnsi="Arial" w:cs="Arial Narrow"/>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Director, Marketing and Communications</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April 2013 and monthly reviews</w:t>
            </w:r>
          </w:p>
        </w:tc>
      </w:tr>
      <w:tr w:rsidR="006C36AF" w:rsidRPr="00987C7F" w:rsidTr="006C36AF">
        <w:trPr>
          <w:trHeight w:val="1119"/>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The University’s strategic and operational plans clearly articulate its commitment to access and inclusion for people with disabilities.</w:t>
            </w:r>
          </w:p>
          <w:p w:rsidR="00510C19" w:rsidRPr="00987C7F" w:rsidRDefault="00510C19" w:rsidP="00165722">
            <w:pPr>
              <w:pStyle w:val="Normal1"/>
              <w:rPr>
                <w:rFonts w:ascii="Arial" w:eastAsia="Arial Narrow" w:hAnsi="Arial" w:cs="Arial Narrow"/>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Senate and Senior Executive Group</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June 2013</w:t>
            </w:r>
          </w:p>
        </w:tc>
      </w:tr>
      <w:tr w:rsidR="006C36AF" w:rsidRPr="00987C7F" w:rsidTr="006C36AF">
        <w:trPr>
          <w:trHeight w:val="1411"/>
        </w:trPr>
        <w:tc>
          <w:tcPr>
            <w:tcW w:w="1843" w:type="dxa"/>
            <w:vMerge w:val="restart"/>
            <w:tcBorders>
              <w:right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color w:val="auto"/>
                <w:sz w:val="20"/>
                <w:szCs w:val="20"/>
              </w:rPr>
              <w:lastRenderedPageBreak/>
              <w:t>1.2 Monitoring, evaluation and review of the Disability Action Plan is ongoing, effective, has clear implementation timelines and reporting and feedback mechanisms</w:t>
            </w:r>
          </w:p>
        </w:tc>
        <w:tc>
          <w:tcPr>
            <w:tcW w:w="3260" w:type="dxa"/>
            <w:tcBorders>
              <w:top w:val="single" w:sz="4" w:space="0" w:color="auto"/>
              <w:left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Quarterly reports provided to the Senior Executive Group on implementation progress and outstanding issues for resolution.</w:t>
            </w: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color w:val="auto"/>
                <w:sz w:val="20"/>
                <w:szCs w:val="20"/>
              </w:rPr>
              <w:t>Senior Executive Group Sub-Committee</w:t>
            </w:r>
          </w:p>
          <w:p w:rsidR="00510C19" w:rsidRPr="00987C7F" w:rsidRDefault="00510C19" w:rsidP="00165722">
            <w:pPr>
              <w:pStyle w:val="Normal1"/>
              <w:rPr>
                <w:rFonts w:ascii="Arial" w:hAnsi="Arial"/>
                <w:color w:val="auto"/>
                <w:sz w:val="20"/>
                <w:szCs w:val="20"/>
              </w:rPr>
            </w:pPr>
          </w:p>
          <w:p w:rsidR="00510C19" w:rsidRPr="00987C7F" w:rsidRDefault="00510C19" w:rsidP="00165722">
            <w:pPr>
              <w:pStyle w:val="Normal1"/>
              <w:rPr>
                <w:rFonts w:ascii="Arial" w:eastAsia="Arial Narrow" w:hAnsi="Arial" w:cs="Arial Narrow"/>
                <w:color w:val="auto"/>
                <w:sz w:val="20"/>
                <w:szCs w:val="20"/>
              </w:rPr>
            </w:pPr>
          </w:p>
          <w:p w:rsidR="00510C19" w:rsidRPr="00987C7F" w:rsidRDefault="00510C19" w:rsidP="00165722">
            <w:pPr>
              <w:pStyle w:val="Normal1"/>
              <w:rPr>
                <w:rFonts w:ascii="Arial" w:hAnsi="Arial"/>
                <w:color w:val="auto"/>
                <w:sz w:val="20"/>
                <w:szCs w:val="20"/>
              </w:rPr>
            </w:pP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 xml:space="preserve">May 2013 and monthly reports </w:t>
            </w:r>
          </w:p>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 xml:space="preserve">November </w:t>
            </w:r>
          </w:p>
          <w:p w:rsidR="00510C19" w:rsidRDefault="00510C19" w:rsidP="00165722">
            <w:pPr>
              <w:pStyle w:val="Normal1"/>
              <w:rPr>
                <w:rFonts w:ascii="Arial" w:hAnsi="Arial"/>
                <w:color w:val="auto"/>
                <w:sz w:val="20"/>
                <w:szCs w:val="20"/>
              </w:rPr>
            </w:pPr>
            <w:r w:rsidRPr="00987C7F">
              <w:rPr>
                <w:rFonts w:ascii="Arial" w:hAnsi="Arial"/>
                <w:color w:val="auto"/>
                <w:sz w:val="20"/>
                <w:szCs w:val="20"/>
              </w:rPr>
              <w:t>2013 and annually thereafter</w:t>
            </w:r>
          </w:p>
          <w:p w:rsidR="00DB76D8" w:rsidRPr="00987C7F" w:rsidRDefault="00DB76D8" w:rsidP="00165722">
            <w:pPr>
              <w:pStyle w:val="Normal1"/>
              <w:rPr>
                <w:rFonts w:ascii="Arial" w:hAnsi="Arial"/>
                <w:color w:val="auto"/>
                <w:sz w:val="20"/>
                <w:szCs w:val="20"/>
              </w:rPr>
            </w:pPr>
          </w:p>
        </w:tc>
      </w:tr>
      <w:tr w:rsidR="006C36AF" w:rsidRPr="00987C7F" w:rsidTr="006C36AF">
        <w:trPr>
          <w:trHeight w:val="1263"/>
        </w:trPr>
        <w:tc>
          <w:tcPr>
            <w:tcW w:w="1843" w:type="dxa"/>
            <w:vMerge/>
            <w:tcBorders>
              <w:right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left w:val="single" w:sz="4" w:space="0" w:color="auto"/>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lang w:val="en-AU"/>
              </w:rPr>
            </w:pPr>
            <w:r w:rsidRPr="00987C7F">
              <w:rPr>
                <w:rFonts w:ascii="Arial" w:eastAsia="Arial Narrow" w:hAnsi="Arial" w:cs="Arial Narrow"/>
                <w:color w:val="auto"/>
                <w:sz w:val="20"/>
                <w:szCs w:val="20"/>
              </w:rPr>
              <w:t xml:space="preserve">Annual survey of staff and students to monitor and evaluate the success of the Disability Action Plan, including measures of the culture of </w:t>
            </w:r>
            <w:r w:rsidRPr="00987C7F">
              <w:rPr>
                <w:rFonts w:ascii="Arial" w:eastAsia="Arial Narrow" w:hAnsi="Arial" w:cs="Arial Narrow"/>
                <w:color w:val="auto"/>
                <w:sz w:val="20"/>
                <w:szCs w:val="20"/>
                <w:lang w:val="en-AU"/>
              </w:rPr>
              <w:t>inclusivity within the University. The surveys are also the capture point for statistical information on staff and students with disabilities.</w:t>
            </w:r>
          </w:p>
          <w:p w:rsidR="00DB76D8" w:rsidRPr="00987C7F" w:rsidRDefault="00DB76D8" w:rsidP="00165722">
            <w:pPr>
              <w:pStyle w:val="Normal1"/>
              <w:rPr>
                <w:rFonts w:ascii="Arial" w:eastAsia="Arial Narrow" w:hAnsi="Arial" w:cs="Arial Narrow"/>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Senior Executive Group Sub-Committee</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March 2014 and annually thereafter</w:t>
            </w:r>
          </w:p>
        </w:tc>
      </w:tr>
      <w:tr w:rsidR="006C36AF" w:rsidRPr="00987C7F" w:rsidTr="006C36AF">
        <w:trPr>
          <w:trHeight w:val="1185"/>
        </w:trPr>
        <w:tc>
          <w:tcPr>
            <w:tcW w:w="1843" w:type="dxa"/>
            <w:vMerge/>
            <w:tcBorders>
              <w:right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left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 xml:space="preserve">Development of strategic audit program to review, evaluate, plan and </w:t>
            </w:r>
            <w:proofErr w:type="spellStart"/>
            <w:r w:rsidRPr="00987C7F">
              <w:rPr>
                <w:rFonts w:ascii="Arial" w:eastAsia="Arial Narrow" w:hAnsi="Arial" w:cs="Arial Narrow"/>
                <w:color w:val="auto"/>
                <w:sz w:val="20"/>
                <w:szCs w:val="20"/>
              </w:rPr>
              <w:t>prioritise</w:t>
            </w:r>
            <w:proofErr w:type="spellEnd"/>
            <w:r w:rsidRPr="00987C7F">
              <w:rPr>
                <w:rFonts w:ascii="Arial" w:eastAsia="Arial Narrow" w:hAnsi="Arial" w:cs="Arial Narrow"/>
                <w:color w:val="auto"/>
                <w:sz w:val="20"/>
                <w:szCs w:val="20"/>
              </w:rPr>
              <w:t xml:space="preserve"> access to the physical, digital, service and cultural environments of the University. </w:t>
            </w:r>
          </w:p>
          <w:p w:rsidR="00DB76D8" w:rsidRPr="00987C7F" w:rsidRDefault="00DB76D8" w:rsidP="00165722">
            <w:pPr>
              <w:pStyle w:val="Normal1"/>
              <w:rPr>
                <w:rFonts w:ascii="Arial" w:hAnsi="Arial"/>
                <w:strike/>
                <w:color w:val="auto"/>
                <w:sz w:val="20"/>
                <w:szCs w:val="20"/>
              </w:rPr>
            </w:pPr>
          </w:p>
        </w:tc>
        <w:tc>
          <w:tcPr>
            <w:tcW w:w="3119" w:type="dxa"/>
            <w:tcBorders>
              <w:top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Senate and Senior Executive Group</w:t>
            </w:r>
          </w:p>
        </w:tc>
        <w:tc>
          <w:tcPr>
            <w:tcW w:w="1559" w:type="dxa"/>
            <w:tcBorders>
              <w:top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 xml:space="preserve">September 2013 </w:t>
            </w:r>
          </w:p>
        </w:tc>
      </w:tr>
      <w:tr w:rsidR="006C36AF" w:rsidRPr="00987C7F" w:rsidTr="00DB76D8">
        <w:trPr>
          <w:trHeight w:val="1529"/>
        </w:trPr>
        <w:tc>
          <w:tcPr>
            <w:tcW w:w="1843"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hAnsi="Arial"/>
                <w:color w:val="auto"/>
                <w:sz w:val="20"/>
                <w:szCs w:val="20"/>
              </w:rPr>
            </w:pPr>
            <w:r w:rsidRPr="00987C7F">
              <w:rPr>
                <w:rFonts w:ascii="Arial" w:hAnsi="Arial"/>
                <w:color w:val="auto"/>
                <w:sz w:val="20"/>
                <w:szCs w:val="20"/>
              </w:rPr>
              <w:t>1.3 Disability Action Plan implementation process is transparent and accessible for students and staff</w:t>
            </w:r>
          </w:p>
          <w:p w:rsidR="00DB76D8" w:rsidRPr="00987C7F" w:rsidRDefault="00DB76D8" w:rsidP="00165722">
            <w:pPr>
              <w:pStyle w:val="Normal1"/>
              <w:rPr>
                <w:rFonts w:ascii="Arial" w:hAnsi="Arial"/>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 xml:space="preserve">Establishment of a ‘one stop shop’ on each campus as a point of information, advice and referral for all students, including those with disabilities. </w:t>
            </w: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Director, Student Support Services, Director, Human Resources and Director, Staff an</w:t>
            </w:r>
            <w:r w:rsidR="00DB76D8">
              <w:rPr>
                <w:rFonts w:ascii="Arial" w:hAnsi="Arial"/>
                <w:color w:val="auto"/>
                <w:sz w:val="20"/>
                <w:szCs w:val="20"/>
              </w:rPr>
              <w:t>d Student Equal Opportunity Unit</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ind w:hanging="97"/>
              <w:rPr>
                <w:rFonts w:ascii="Arial" w:hAnsi="Arial"/>
                <w:color w:val="auto"/>
                <w:sz w:val="20"/>
                <w:szCs w:val="20"/>
              </w:rPr>
            </w:pPr>
            <w:r w:rsidRPr="00987C7F">
              <w:rPr>
                <w:rFonts w:ascii="Arial" w:hAnsi="Arial"/>
                <w:color w:val="auto"/>
                <w:sz w:val="20"/>
                <w:szCs w:val="20"/>
              </w:rPr>
              <w:t>July 2014</w:t>
            </w:r>
          </w:p>
          <w:p w:rsidR="00510C19" w:rsidRPr="00987C7F" w:rsidRDefault="00510C19" w:rsidP="00DB76D8">
            <w:pPr>
              <w:pStyle w:val="Normal1"/>
              <w:rPr>
                <w:rFonts w:ascii="Arial" w:hAnsi="Arial"/>
                <w:color w:val="auto"/>
                <w:sz w:val="20"/>
                <w:szCs w:val="20"/>
              </w:rPr>
            </w:pPr>
          </w:p>
        </w:tc>
      </w:tr>
    </w:tbl>
    <w:p w:rsidR="00110FA1" w:rsidRDefault="00110FA1" w:rsidP="00165722">
      <w:pPr>
        <w:pStyle w:val="Normal1"/>
        <w:rPr>
          <w:rFonts w:ascii="Arial" w:eastAsia="Arial Narrow" w:hAnsi="Arial" w:cs="Arial Narrow"/>
          <w:b/>
          <w:color w:val="auto"/>
          <w:sz w:val="20"/>
          <w:szCs w:val="20"/>
        </w:rPr>
      </w:pPr>
    </w:p>
    <w:p w:rsidR="00165722" w:rsidRPr="00110FA1" w:rsidRDefault="00110FA1" w:rsidP="00E1390B">
      <w:pPr>
        <w:pStyle w:val="Heading3"/>
        <w:rPr>
          <w:rFonts w:cs="Arial Narrow"/>
          <w:lang w:val="en-US" w:eastAsia="ja-JP"/>
        </w:rPr>
      </w:pPr>
      <w:r>
        <w:rPr>
          <w:rFonts w:cs="Arial Narrow"/>
        </w:rPr>
        <w:br w:type="page"/>
      </w:r>
      <w:bookmarkStart w:id="28" w:name="_Toc357508225"/>
      <w:r>
        <w:lastRenderedPageBreak/>
        <w:t>Objective 2:</w:t>
      </w:r>
      <w:r w:rsidR="00165722" w:rsidRPr="00987C7F">
        <w:t xml:space="preserve"> The University of Sydney is a tertiary education prov</w:t>
      </w:r>
      <w:r w:rsidR="00CC3727">
        <w:t>ider of choice for all students.</w:t>
      </w:r>
      <w:bookmarkEnd w:id="28"/>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43"/>
        <w:gridCol w:w="3260"/>
        <w:gridCol w:w="3119"/>
        <w:gridCol w:w="1559"/>
      </w:tblGrid>
      <w:tr w:rsidR="006C36AF" w:rsidRPr="00987C7F" w:rsidTr="004E346C">
        <w:trPr>
          <w:trHeight w:val="307"/>
        </w:trPr>
        <w:tc>
          <w:tcPr>
            <w:tcW w:w="1843"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Strategy</w:t>
            </w:r>
          </w:p>
        </w:tc>
        <w:tc>
          <w:tcPr>
            <w:tcW w:w="3260"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Outcomes</w:t>
            </w:r>
          </w:p>
        </w:tc>
        <w:tc>
          <w:tcPr>
            <w:tcW w:w="3119"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Key responsibilities</w:t>
            </w:r>
          </w:p>
        </w:tc>
        <w:tc>
          <w:tcPr>
            <w:tcW w:w="1559" w:type="dxa"/>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b/>
                <w:color w:val="auto"/>
                <w:sz w:val="20"/>
                <w:szCs w:val="20"/>
              </w:rPr>
              <w:t>Target date</w:t>
            </w:r>
          </w:p>
        </w:tc>
      </w:tr>
      <w:tr w:rsidR="006C36AF" w:rsidRPr="00987C7F" w:rsidTr="008D237C">
        <w:trPr>
          <w:trHeight w:val="1408"/>
        </w:trPr>
        <w:tc>
          <w:tcPr>
            <w:tcW w:w="1843" w:type="dxa"/>
            <w:vMerge w:val="restart"/>
            <w:tcMar>
              <w:left w:w="108" w:type="dxa"/>
              <w:right w:w="108" w:type="dxa"/>
            </w:tcMar>
          </w:tcPr>
          <w:p w:rsidR="00510C19" w:rsidRPr="00987C7F" w:rsidRDefault="00510C19" w:rsidP="00A468C2">
            <w:pPr>
              <w:pStyle w:val="Normal1"/>
              <w:rPr>
                <w:rFonts w:ascii="Arial" w:hAnsi="Arial"/>
                <w:color w:val="auto"/>
                <w:sz w:val="20"/>
                <w:szCs w:val="20"/>
              </w:rPr>
            </w:pPr>
            <w:r w:rsidRPr="00987C7F">
              <w:rPr>
                <w:rFonts w:ascii="Arial" w:eastAsia="Arial Narrow" w:hAnsi="Arial" w:cs="Arial Narrow"/>
                <w:color w:val="auto"/>
                <w:sz w:val="20"/>
                <w:szCs w:val="20"/>
              </w:rPr>
              <w:t>2.1 Encourage students with disabilities to choose the University of Sydney as a Tertiary Education and Research Provider</w:t>
            </w:r>
          </w:p>
        </w:tc>
        <w:tc>
          <w:tcPr>
            <w:tcW w:w="3260" w:type="dxa"/>
            <w:tcBorders>
              <w:bottom w:val="single" w:sz="4" w:space="0" w:color="auto"/>
            </w:tcBorders>
            <w:tcMar>
              <w:left w:w="108" w:type="dxa"/>
              <w:right w:w="108" w:type="dxa"/>
            </w:tcMar>
          </w:tcPr>
          <w:p w:rsidR="00510C19" w:rsidRDefault="00510C19" w:rsidP="00B54FE1">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Action plans developed at all divisional/faculty/unit specific levels, which include all aspects of student, staff and visitor needs.</w:t>
            </w:r>
            <w:r>
              <w:rPr>
                <w:rFonts w:ascii="Arial" w:eastAsia="Arial Narrow" w:hAnsi="Arial" w:cs="Arial Narrow"/>
                <w:color w:val="auto"/>
                <w:sz w:val="20"/>
                <w:szCs w:val="20"/>
              </w:rPr>
              <w:t xml:space="preserve"> </w:t>
            </w:r>
            <w:r w:rsidRPr="005838BE">
              <w:rPr>
                <w:rFonts w:ascii="Arial" w:eastAsia="Arial Narrow" w:hAnsi="Arial" w:cs="Arial Narrow"/>
                <w:color w:val="auto"/>
                <w:sz w:val="20"/>
                <w:szCs w:val="20"/>
              </w:rPr>
              <w:t>In addition, the process of developing local action plans may also spur the University to develop other strategies, such as a mental health strategy, culturally and linguistically diverse strategy, etc.</w:t>
            </w:r>
            <w:r>
              <w:rPr>
                <w:rFonts w:ascii="Arial" w:eastAsia="Arial Narrow" w:hAnsi="Arial" w:cs="Arial Narrow"/>
                <w:color w:val="auto"/>
                <w:sz w:val="20"/>
                <w:szCs w:val="20"/>
              </w:rPr>
              <w:t xml:space="preserve"> </w:t>
            </w:r>
          </w:p>
          <w:p w:rsidR="00DB76D8" w:rsidRPr="00987C7F" w:rsidRDefault="00DB76D8" w:rsidP="00B54FE1">
            <w:pPr>
              <w:pStyle w:val="Normal1"/>
              <w:rPr>
                <w:rFonts w:ascii="Arial" w:hAnsi="Arial"/>
                <w:color w:val="auto"/>
                <w:sz w:val="20"/>
                <w:szCs w:val="20"/>
              </w:rPr>
            </w:pPr>
          </w:p>
        </w:tc>
        <w:tc>
          <w:tcPr>
            <w:tcW w:w="3119" w:type="dxa"/>
            <w:tcBorders>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Deans, directors and heads of schools.</w:t>
            </w:r>
          </w:p>
          <w:p w:rsidR="00510C19" w:rsidRPr="00987C7F" w:rsidRDefault="00510C19" w:rsidP="00165722">
            <w:pPr>
              <w:pStyle w:val="Normal1"/>
              <w:rPr>
                <w:rFonts w:ascii="Arial" w:hAnsi="Arial"/>
                <w:color w:val="auto"/>
                <w:sz w:val="20"/>
                <w:szCs w:val="20"/>
              </w:rPr>
            </w:pPr>
          </w:p>
          <w:p w:rsidR="00510C19" w:rsidRPr="00987C7F" w:rsidRDefault="00510C19" w:rsidP="00165722">
            <w:pPr>
              <w:pStyle w:val="Normal1"/>
              <w:rPr>
                <w:rFonts w:ascii="Arial" w:hAnsi="Arial"/>
                <w:color w:val="auto"/>
                <w:sz w:val="20"/>
                <w:szCs w:val="20"/>
              </w:rPr>
            </w:pPr>
          </w:p>
          <w:p w:rsidR="00510C19" w:rsidRPr="00987C7F" w:rsidRDefault="00510C19" w:rsidP="00165722">
            <w:pPr>
              <w:pStyle w:val="Normal1"/>
              <w:rPr>
                <w:rFonts w:ascii="Arial" w:hAnsi="Arial"/>
                <w:color w:val="auto"/>
                <w:sz w:val="20"/>
                <w:szCs w:val="20"/>
              </w:rPr>
            </w:pPr>
          </w:p>
        </w:tc>
        <w:tc>
          <w:tcPr>
            <w:tcW w:w="1559" w:type="dxa"/>
            <w:tcBorders>
              <w:bottom w:val="single" w:sz="4" w:space="0" w:color="auto"/>
            </w:tcBorders>
            <w:tcMar>
              <w:left w:w="108" w:type="dxa"/>
              <w:right w:w="108" w:type="dxa"/>
            </w:tcMar>
          </w:tcPr>
          <w:p w:rsidR="00510C19" w:rsidRPr="00987C7F" w:rsidRDefault="00510C19" w:rsidP="00CC3727">
            <w:pPr>
              <w:pStyle w:val="Normal1"/>
              <w:rPr>
                <w:rFonts w:ascii="Arial" w:hAnsi="Arial"/>
                <w:color w:val="auto"/>
                <w:sz w:val="20"/>
                <w:szCs w:val="20"/>
              </w:rPr>
            </w:pPr>
            <w:r w:rsidRPr="00987C7F">
              <w:rPr>
                <w:rFonts w:ascii="Arial" w:hAnsi="Arial"/>
                <w:color w:val="auto"/>
                <w:sz w:val="20"/>
                <w:szCs w:val="20"/>
              </w:rPr>
              <w:t>December 2013</w:t>
            </w:r>
          </w:p>
        </w:tc>
      </w:tr>
      <w:tr w:rsidR="006C36AF" w:rsidRPr="00987C7F" w:rsidTr="006C36AF">
        <w:trPr>
          <w:trHeight w:val="1654"/>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Collaboration and partnerships established with faculties to develop a continuous quality improvement approach to inclusive and effective teaching, research and assessment practice.</w:t>
            </w:r>
          </w:p>
          <w:p w:rsidR="00DB76D8" w:rsidRPr="00987C7F" w:rsidRDefault="00DB76D8" w:rsidP="00165722">
            <w:pPr>
              <w:pStyle w:val="Normal1"/>
              <w:rPr>
                <w:rFonts w:ascii="Arial" w:hAnsi="Arial"/>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Deans, heads of schools, associate deans learning and teaching, Academic Board and Manager, Disability Services</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December 2013 and review bi-annually</w:t>
            </w:r>
          </w:p>
          <w:p w:rsidR="00510C19" w:rsidRPr="00987C7F" w:rsidRDefault="00510C19" w:rsidP="00165722">
            <w:pPr>
              <w:pStyle w:val="Normal1"/>
              <w:rPr>
                <w:rFonts w:ascii="Arial" w:hAnsi="Arial"/>
                <w:color w:val="auto"/>
                <w:sz w:val="20"/>
                <w:szCs w:val="20"/>
              </w:rPr>
            </w:pPr>
          </w:p>
        </w:tc>
      </w:tr>
      <w:tr w:rsidR="006C36AF" w:rsidRPr="00987C7F" w:rsidTr="006C36AF">
        <w:trPr>
          <w:trHeight w:val="1311"/>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Continue to review and implement systems within faculties for students with disabilities, which increase opportunities for support and consultation.</w:t>
            </w: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Deans, heads of schools, associate deans learning and teaching, Academic Board and Manager, Disability Services</w:t>
            </w:r>
            <w:r w:rsidRPr="00987C7F" w:rsidDel="00606CD7">
              <w:rPr>
                <w:rFonts w:ascii="Arial" w:hAnsi="Arial"/>
                <w:color w:val="auto"/>
                <w:sz w:val="20"/>
                <w:szCs w:val="20"/>
              </w:rPr>
              <w:t xml:space="preserve"> </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October 2013 and reviewed bi-annually</w:t>
            </w:r>
          </w:p>
        </w:tc>
      </w:tr>
      <w:tr w:rsidR="006C36AF" w:rsidRPr="00987C7F" w:rsidTr="004E346C">
        <w:trPr>
          <w:trHeight w:val="661"/>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Review and improve accessibility of the enrolment process for students with disabilities.</w:t>
            </w:r>
          </w:p>
          <w:p w:rsidR="004E346C" w:rsidRPr="00987C7F" w:rsidRDefault="004E346C" w:rsidP="00165722">
            <w:pPr>
              <w:pStyle w:val="Normal1"/>
              <w:rPr>
                <w:rFonts w:ascii="Arial" w:hAnsi="Arial"/>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Deputy Vice-Chancellor (Education)</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July 2013 and review bi-annually</w:t>
            </w:r>
          </w:p>
        </w:tc>
      </w:tr>
      <w:tr w:rsidR="006C36AF" w:rsidRPr="00987C7F" w:rsidTr="006C36AF">
        <w:trPr>
          <w:trHeight w:val="1560"/>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Student outreach program established to encourage and attract students with disabilities to study at the University of Sydney.</w:t>
            </w: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Manager, Disability Services, Director, Staff and Student Equal Opportunity Unit, Director, Student Recruitment Unit, Senior Executive Group and Academic Board</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November 2013 and annual review</w:t>
            </w:r>
          </w:p>
        </w:tc>
      </w:tr>
      <w:tr w:rsidR="006C36AF" w:rsidRPr="00987C7F" w:rsidTr="004E346C">
        <w:trPr>
          <w:trHeight w:val="852"/>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Research and address barriers to participation for higher degree research students with disabilities.</w:t>
            </w: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Senior Executive Group, directors and Academic Board</w:t>
            </w:r>
          </w:p>
          <w:p w:rsidR="00510C19" w:rsidRDefault="00510C19" w:rsidP="00165722">
            <w:pPr>
              <w:pStyle w:val="Normal1"/>
              <w:rPr>
                <w:rFonts w:ascii="Arial" w:hAnsi="Arial"/>
                <w:color w:val="auto"/>
                <w:sz w:val="20"/>
                <w:szCs w:val="20"/>
              </w:rPr>
            </w:pPr>
          </w:p>
          <w:p w:rsidR="00DB76D8" w:rsidRPr="00987C7F" w:rsidRDefault="00DB76D8" w:rsidP="00165722">
            <w:pPr>
              <w:pStyle w:val="Normal1"/>
              <w:rPr>
                <w:rFonts w:ascii="Arial" w:hAnsi="Arial"/>
                <w:color w:val="auto"/>
                <w:sz w:val="20"/>
                <w:szCs w:val="20"/>
              </w:rPr>
            </w:pPr>
          </w:p>
        </w:tc>
        <w:tc>
          <w:tcPr>
            <w:tcW w:w="1559"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hAnsi="Arial"/>
                <w:color w:val="auto"/>
                <w:sz w:val="20"/>
                <w:szCs w:val="20"/>
              </w:rPr>
            </w:pPr>
            <w:r w:rsidRPr="00987C7F">
              <w:rPr>
                <w:rFonts w:ascii="Arial" w:hAnsi="Arial"/>
                <w:color w:val="auto"/>
                <w:sz w:val="20"/>
                <w:szCs w:val="20"/>
              </w:rPr>
              <w:t>December 2013 and reviewed bi-annually</w:t>
            </w:r>
          </w:p>
          <w:p w:rsidR="00DB76D8" w:rsidRPr="00987C7F" w:rsidRDefault="00DB76D8" w:rsidP="00165722">
            <w:pPr>
              <w:pStyle w:val="Normal1"/>
              <w:rPr>
                <w:rFonts w:ascii="Arial" w:hAnsi="Arial"/>
                <w:color w:val="auto"/>
                <w:sz w:val="20"/>
                <w:szCs w:val="20"/>
              </w:rPr>
            </w:pPr>
          </w:p>
        </w:tc>
      </w:tr>
      <w:tr w:rsidR="006C36AF" w:rsidRPr="00987C7F" w:rsidTr="006A311B">
        <w:trPr>
          <w:trHeight w:val="1740"/>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Develop knowledge and data on students with disabilities (including future, undergraduate, postgraduate, higher degree course work/research students) to enable better planning and delivery of services.</w:t>
            </w: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Deputy Vice-Chancellor (Strategic Management), Senior Executive Group, directors and Academic Board</w:t>
            </w:r>
          </w:p>
          <w:p w:rsidR="00510C19" w:rsidRPr="00987C7F" w:rsidRDefault="00510C19" w:rsidP="00165722">
            <w:pPr>
              <w:pStyle w:val="Normal1"/>
              <w:rPr>
                <w:rFonts w:ascii="Arial" w:hAnsi="Arial"/>
                <w:color w:val="auto"/>
                <w:sz w:val="20"/>
                <w:szCs w:val="20"/>
              </w:rPr>
            </w:pP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July 2013 and reviewed bi-annually</w:t>
            </w:r>
          </w:p>
        </w:tc>
      </w:tr>
      <w:tr w:rsidR="006C36AF" w:rsidRPr="00987C7F" w:rsidTr="006C36AF">
        <w:trPr>
          <w:trHeight w:val="853"/>
        </w:trPr>
        <w:tc>
          <w:tcPr>
            <w:tcW w:w="1843" w:type="dxa"/>
            <w:vMerge/>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510C19" w:rsidRDefault="006A311B" w:rsidP="00165722">
            <w:pPr>
              <w:pStyle w:val="Normal1"/>
              <w:rPr>
                <w:rFonts w:ascii="Arial" w:eastAsia="Arial Narrow" w:hAnsi="Arial" w:cs="Arial Narrow"/>
                <w:color w:val="auto"/>
                <w:sz w:val="20"/>
                <w:szCs w:val="20"/>
              </w:rPr>
            </w:pPr>
            <w:r>
              <w:rPr>
                <w:rFonts w:ascii="Arial" w:eastAsia="Arial Narrow" w:hAnsi="Arial" w:cs="Arial Narrow"/>
                <w:color w:val="auto"/>
                <w:sz w:val="20"/>
                <w:szCs w:val="20"/>
              </w:rPr>
              <w:t>Development of</w:t>
            </w:r>
            <w:r w:rsidR="00510C19" w:rsidRPr="00987C7F">
              <w:rPr>
                <w:rFonts w:ascii="Arial" w:eastAsia="Arial Narrow" w:hAnsi="Arial" w:cs="Arial Narrow"/>
                <w:color w:val="auto"/>
                <w:sz w:val="20"/>
                <w:szCs w:val="20"/>
              </w:rPr>
              <w:t xml:space="preserve"> support for students with disabilities transitioning from University to employment.</w:t>
            </w:r>
          </w:p>
          <w:p w:rsidR="00DB76D8" w:rsidRPr="00987C7F" w:rsidRDefault="00DB76D8" w:rsidP="00165722">
            <w:pPr>
              <w:pStyle w:val="Normal1"/>
              <w:rPr>
                <w:rFonts w:ascii="Arial" w:eastAsia="Arial Narrow" w:hAnsi="Arial" w:cs="Arial Narrow"/>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lastRenderedPageBreak/>
              <w:t>Manager, Disability Services and Manager, Careers Centre</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July 2014 and annual review</w:t>
            </w:r>
          </w:p>
        </w:tc>
      </w:tr>
      <w:tr w:rsidR="006C36AF" w:rsidRPr="00987C7F" w:rsidTr="008D237C">
        <w:trPr>
          <w:trHeight w:val="1437"/>
        </w:trPr>
        <w:tc>
          <w:tcPr>
            <w:tcW w:w="1843" w:type="dxa"/>
            <w:vMerge w:val="restart"/>
            <w:tcBorders>
              <w:top w:val="single" w:sz="4" w:space="0" w:color="auto"/>
              <w:right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lastRenderedPageBreak/>
              <w:t xml:space="preserve">2.2 Provide an innovative, creative, flexible and open learning environment that </w:t>
            </w:r>
            <w:proofErr w:type="spellStart"/>
            <w:r w:rsidRPr="00987C7F">
              <w:rPr>
                <w:rFonts w:ascii="Arial" w:eastAsia="Arial Narrow" w:hAnsi="Arial" w:cs="Arial Narrow"/>
                <w:color w:val="auto"/>
                <w:sz w:val="20"/>
                <w:szCs w:val="20"/>
              </w:rPr>
              <w:t>maximises</w:t>
            </w:r>
            <w:proofErr w:type="spellEnd"/>
            <w:r w:rsidRPr="00987C7F">
              <w:rPr>
                <w:rFonts w:ascii="Arial" w:eastAsia="Arial Narrow" w:hAnsi="Arial" w:cs="Arial Narrow"/>
                <w:color w:val="auto"/>
                <w:sz w:val="20"/>
                <w:szCs w:val="20"/>
              </w:rPr>
              <w:t xml:space="preserve"> access, participation and success for all students.</w:t>
            </w:r>
          </w:p>
        </w:tc>
        <w:tc>
          <w:tcPr>
            <w:tcW w:w="3260" w:type="dxa"/>
            <w:tcBorders>
              <w:top w:val="single" w:sz="4" w:space="0" w:color="auto"/>
              <w:left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All teaching staff provided with disability awareness training to ensure they have disability confidence in the teaching and learning environment.</w:t>
            </w: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Director, Human Resources, Director Staff and Student Equal Opportunity Unit and Deputy Vice-Chancellor (Education) through Disability Services</w:t>
            </w:r>
          </w:p>
        </w:tc>
        <w:tc>
          <w:tcPr>
            <w:tcW w:w="1559"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hAnsi="Arial"/>
                <w:color w:val="auto"/>
                <w:sz w:val="20"/>
                <w:szCs w:val="20"/>
              </w:rPr>
            </w:pPr>
            <w:r w:rsidRPr="00987C7F">
              <w:rPr>
                <w:rFonts w:ascii="Arial" w:hAnsi="Arial"/>
                <w:color w:val="auto"/>
                <w:sz w:val="20"/>
                <w:szCs w:val="20"/>
              </w:rPr>
              <w:t>10 percent by October 2013; 50 percent by October 2015; 95 percent by October 2017</w:t>
            </w:r>
          </w:p>
          <w:p w:rsidR="00DB76D8" w:rsidRPr="00987C7F" w:rsidRDefault="00DB76D8" w:rsidP="00165722">
            <w:pPr>
              <w:pStyle w:val="Normal1"/>
              <w:rPr>
                <w:rFonts w:ascii="Arial" w:hAnsi="Arial"/>
                <w:color w:val="auto"/>
                <w:sz w:val="20"/>
                <w:szCs w:val="20"/>
              </w:rPr>
            </w:pPr>
          </w:p>
        </w:tc>
      </w:tr>
      <w:tr w:rsidR="006C36AF" w:rsidRPr="00987C7F" w:rsidTr="006C36AF">
        <w:trPr>
          <w:trHeight w:val="1875"/>
        </w:trPr>
        <w:tc>
          <w:tcPr>
            <w:tcW w:w="1843" w:type="dxa"/>
            <w:vMerge/>
            <w:tcBorders>
              <w:top w:val="single" w:sz="4" w:space="0" w:color="auto"/>
              <w:right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left w:val="single" w:sz="4" w:space="0" w:color="auto"/>
              <w:bottom w:val="single" w:sz="4" w:space="0" w:color="auto"/>
            </w:tcBorders>
            <w:tcMar>
              <w:left w:w="108" w:type="dxa"/>
              <w:right w:w="108" w:type="dxa"/>
            </w:tcMar>
          </w:tcPr>
          <w:p w:rsidR="00510C19"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Teaching staff are aware of the resources available to support students with disabilities. Improve access to training of innovative, creative, flexible and open learning tools and other support mechanisms. Establish a point of contact for staff to gain advice and resources.</w:t>
            </w:r>
          </w:p>
          <w:p w:rsidR="00DB76D8" w:rsidRPr="00987C7F" w:rsidRDefault="00DB76D8" w:rsidP="00165722">
            <w:pPr>
              <w:pStyle w:val="Normal1"/>
              <w:rPr>
                <w:rFonts w:ascii="Arial" w:eastAsia="Arial Narrow" w:hAnsi="Arial" w:cs="Arial Narrow"/>
                <w:color w:val="auto"/>
                <w:sz w:val="20"/>
                <w:szCs w:val="20"/>
              </w:rPr>
            </w:pPr>
          </w:p>
        </w:tc>
        <w:tc>
          <w:tcPr>
            <w:tcW w:w="311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Deputy Vice-Chancellor (Education), Director, Human Resources and deans</w:t>
            </w: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 xml:space="preserve">December 2013 and annual review </w:t>
            </w:r>
          </w:p>
        </w:tc>
      </w:tr>
      <w:tr w:rsidR="006C36AF" w:rsidRPr="00987C7F" w:rsidTr="006C36AF">
        <w:trPr>
          <w:trHeight w:val="1081"/>
        </w:trPr>
        <w:tc>
          <w:tcPr>
            <w:tcW w:w="1843" w:type="dxa"/>
            <w:vMerge/>
            <w:tcBorders>
              <w:right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left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Flexibility and inclusiveness of the individual needs of students with disabilities competently managed by staff.</w:t>
            </w:r>
          </w:p>
        </w:tc>
        <w:tc>
          <w:tcPr>
            <w:tcW w:w="3119" w:type="dxa"/>
            <w:tcBorders>
              <w:top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Academic Board</w:t>
            </w:r>
          </w:p>
        </w:tc>
        <w:tc>
          <w:tcPr>
            <w:tcW w:w="1559" w:type="dxa"/>
            <w:tcBorders>
              <w:top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July 2013 and bi-annual review</w:t>
            </w:r>
          </w:p>
        </w:tc>
      </w:tr>
      <w:tr w:rsidR="006C36AF" w:rsidRPr="00987C7F" w:rsidTr="006C36AF">
        <w:trPr>
          <w:trHeight w:val="1411"/>
        </w:trPr>
        <w:tc>
          <w:tcPr>
            <w:tcW w:w="1843" w:type="dxa"/>
            <w:vMerge w:val="restart"/>
            <w:tcBorders>
              <w:right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eastAsia="Arial Narrow" w:hAnsi="Arial" w:cs="Arial Narrow"/>
                <w:color w:val="auto"/>
                <w:sz w:val="20"/>
                <w:szCs w:val="20"/>
              </w:rPr>
              <w:t>2.3 Provide equitable support services that are available to all students who need assistance.</w:t>
            </w:r>
          </w:p>
          <w:p w:rsidR="00510C19" w:rsidRPr="00987C7F" w:rsidRDefault="00510C19" w:rsidP="00165722">
            <w:pPr>
              <w:pStyle w:val="Normal1"/>
              <w:rPr>
                <w:rFonts w:ascii="Arial" w:hAnsi="Arial"/>
                <w:color w:val="auto"/>
                <w:sz w:val="20"/>
                <w:szCs w:val="20"/>
              </w:rPr>
            </w:pPr>
          </w:p>
          <w:p w:rsidR="00510C19" w:rsidRPr="00987C7F" w:rsidRDefault="00510C19" w:rsidP="00165722">
            <w:pPr>
              <w:pStyle w:val="Normal1"/>
              <w:rPr>
                <w:rFonts w:ascii="Arial" w:hAnsi="Arial"/>
                <w:color w:val="auto"/>
                <w:sz w:val="20"/>
                <w:szCs w:val="20"/>
              </w:rPr>
            </w:pPr>
          </w:p>
        </w:tc>
        <w:tc>
          <w:tcPr>
            <w:tcW w:w="3260" w:type="dxa"/>
            <w:tcBorders>
              <w:left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Increase available resources and expand Disability Services at central and local levels to provide services to all students with disabilities.</w:t>
            </w:r>
          </w:p>
        </w:tc>
        <w:tc>
          <w:tcPr>
            <w:tcW w:w="3119" w:type="dxa"/>
            <w:tcBorders>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Senior Executive Group</w:t>
            </w:r>
          </w:p>
        </w:tc>
        <w:tc>
          <w:tcPr>
            <w:tcW w:w="1559" w:type="dxa"/>
            <w:tcBorders>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December 2013 and annual review</w:t>
            </w:r>
          </w:p>
        </w:tc>
      </w:tr>
      <w:tr w:rsidR="006C36AF" w:rsidRPr="00987C7F" w:rsidTr="006C36AF">
        <w:trPr>
          <w:trHeight w:val="1087"/>
        </w:trPr>
        <w:tc>
          <w:tcPr>
            <w:tcW w:w="1843" w:type="dxa"/>
            <w:vMerge/>
            <w:tcBorders>
              <w:right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p>
        </w:tc>
        <w:tc>
          <w:tcPr>
            <w:tcW w:w="3260" w:type="dxa"/>
            <w:tcBorders>
              <w:top w:val="single" w:sz="4" w:space="0" w:color="auto"/>
              <w:left w:val="single" w:sz="4" w:space="0" w:color="auto"/>
              <w:bottom w:val="single" w:sz="4" w:space="0" w:color="auto"/>
            </w:tcBorders>
            <w:tcMar>
              <w:left w:w="108" w:type="dxa"/>
              <w:right w:w="108" w:type="dxa"/>
            </w:tcMar>
          </w:tcPr>
          <w:p w:rsidR="00510C19" w:rsidRPr="00987C7F" w:rsidRDefault="00510C19"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Further the development and resourcing of the role of Student Disability Liaison Officers.</w:t>
            </w:r>
          </w:p>
        </w:tc>
        <w:tc>
          <w:tcPr>
            <w:tcW w:w="3119" w:type="dxa"/>
            <w:tcBorders>
              <w:top w:val="single" w:sz="4" w:space="0" w:color="auto"/>
              <w:bottom w:val="single" w:sz="4" w:space="0" w:color="auto"/>
            </w:tcBorders>
            <w:tcMar>
              <w:left w:w="108" w:type="dxa"/>
              <w:right w:w="108" w:type="dxa"/>
            </w:tcMar>
          </w:tcPr>
          <w:p w:rsidR="00510C19" w:rsidRDefault="00510C19" w:rsidP="00165722">
            <w:pPr>
              <w:pStyle w:val="Normal1"/>
              <w:rPr>
                <w:rFonts w:ascii="Arial" w:hAnsi="Arial"/>
                <w:color w:val="auto"/>
                <w:sz w:val="20"/>
                <w:szCs w:val="20"/>
              </w:rPr>
            </w:pPr>
            <w:r w:rsidRPr="00987C7F">
              <w:rPr>
                <w:rFonts w:ascii="Arial" w:hAnsi="Arial"/>
                <w:color w:val="auto"/>
                <w:sz w:val="20"/>
                <w:szCs w:val="20"/>
              </w:rPr>
              <w:t>Deputy Vice-Chancellor (Education), Director, Human Resources, Manager of Disability Services, deans and heads of schools, Learning and Teaching Committee</w:t>
            </w:r>
          </w:p>
          <w:p w:rsidR="00DB76D8" w:rsidRPr="00987C7F" w:rsidRDefault="00DB76D8" w:rsidP="00165722">
            <w:pPr>
              <w:pStyle w:val="Normal1"/>
              <w:rPr>
                <w:rFonts w:ascii="Arial" w:hAnsi="Arial"/>
                <w:color w:val="auto"/>
                <w:sz w:val="20"/>
                <w:szCs w:val="20"/>
              </w:rPr>
            </w:pPr>
          </w:p>
        </w:tc>
        <w:tc>
          <w:tcPr>
            <w:tcW w:w="1559" w:type="dxa"/>
            <w:tcBorders>
              <w:top w:val="single" w:sz="4" w:space="0" w:color="auto"/>
              <w:bottom w:val="single" w:sz="4" w:space="0" w:color="auto"/>
            </w:tcBorders>
            <w:tcMar>
              <w:left w:w="108" w:type="dxa"/>
              <w:right w:w="108" w:type="dxa"/>
            </w:tcMar>
          </w:tcPr>
          <w:p w:rsidR="00510C19" w:rsidRPr="00987C7F" w:rsidRDefault="00510C19" w:rsidP="00165722">
            <w:pPr>
              <w:pStyle w:val="Normal1"/>
              <w:rPr>
                <w:rFonts w:ascii="Arial" w:hAnsi="Arial"/>
                <w:color w:val="auto"/>
                <w:sz w:val="20"/>
                <w:szCs w:val="20"/>
              </w:rPr>
            </w:pPr>
            <w:r w:rsidRPr="00987C7F">
              <w:rPr>
                <w:rFonts w:ascii="Arial" w:hAnsi="Arial"/>
                <w:color w:val="auto"/>
                <w:sz w:val="20"/>
                <w:szCs w:val="20"/>
              </w:rPr>
              <w:t>August 2013 and annual review</w:t>
            </w:r>
          </w:p>
          <w:p w:rsidR="00510C19" w:rsidRPr="00987C7F" w:rsidRDefault="00510C19" w:rsidP="00165722">
            <w:pPr>
              <w:pStyle w:val="Normal1"/>
              <w:rPr>
                <w:rFonts w:ascii="Arial" w:hAnsi="Arial"/>
                <w:color w:val="auto"/>
                <w:sz w:val="20"/>
                <w:szCs w:val="20"/>
              </w:rPr>
            </w:pPr>
          </w:p>
        </w:tc>
      </w:tr>
    </w:tbl>
    <w:p w:rsidR="000A5190" w:rsidRDefault="000A5190">
      <w:pPr>
        <w:spacing w:before="0" w:after="0"/>
        <w:rPr>
          <w:rFonts w:eastAsia="Arial Narrow" w:cs="Arial Narrow"/>
          <w:b/>
          <w:szCs w:val="20"/>
          <w:lang w:val="en-US" w:eastAsia="ja-JP"/>
        </w:rPr>
      </w:pPr>
      <w:r>
        <w:rPr>
          <w:rFonts w:eastAsia="Arial Narrow" w:cs="Arial Narrow"/>
          <w:b/>
          <w:szCs w:val="20"/>
        </w:rPr>
        <w:br w:type="page"/>
      </w:r>
    </w:p>
    <w:p w:rsidR="00165722" w:rsidRPr="00987C7F" w:rsidRDefault="000A5190" w:rsidP="00E1390B">
      <w:pPr>
        <w:pStyle w:val="Heading3"/>
      </w:pPr>
      <w:bookmarkStart w:id="29" w:name="_Toc357508226"/>
      <w:r>
        <w:lastRenderedPageBreak/>
        <w:t>Objective 3:</w:t>
      </w:r>
      <w:r w:rsidR="00165722" w:rsidRPr="00987C7F">
        <w:t xml:space="preserve"> The University is an employer of choic</w:t>
      </w:r>
      <w:r>
        <w:t>e for people with disabilities.</w:t>
      </w:r>
      <w:bookmarkEnd w:id="29"/>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43"/>
        <w:gridCol w:w="3260"/>
        <w:gridCol w:w="3119"/>
        <w:gridCol w:w="1559"/>
      </w:tblGrid>
      <w:tr w:rsidR="006C36AF" w:rsidRPr="00987C7F" w:rsidTr="006C36AF">
        <w:tc>
          <w:tcPr>
            <w:tcW w:w="1843" w:type="dxa"/>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b/>
                <w:color w:val="auto"/>
                <w:sz w:val="20"/>
                <w:szCs w:val="20"/>
              </w:rPr>
              <w:t>Strategy</w:t>
            </w:r>
          </w:p>
        </w:tc>
        <w:tc>
          <w:tcPr>
            <w:tcW w:w="3260" w:type="dxa"/>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b/>
                <w:color w:val="auto"/>
                <w:sz w:val="20"/>
                <w:szCs w:val="20"/>
              </w:rPr>
              <w:t>Outcome</w:t>
            </w:r>
          </w:p>
        </w:tc>
        <w:tc>
          <w:tcPr>
            <w:tcW w:w="311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Key Responsibilities</w:t>
            </w:r>
          </w:p>
        </w:tc>
        <w:tc>
          <w:tcPr>
            <w:tcW w:w="155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Target Date</w:t>
            </w:r>
          </w:p>
        </w:tc>
      </w:tr>
      <w:tr w:rsidR="006C36AF" w:rsidRPr="00987C7F" w:rsidTr="00DB76D8">
        <w:trPr>
          <w:trHeight w:val="684"/>
        </w:trPr>
        <w:tc>
          <w:tcPr>
            <w:tcW w:w="1843" w:type="dxa"/>
            <w:vMerge w:val="restart"/>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3.1 Develop a Disability Employment Strategy to encourage potential employees with disabilities to choose the University as an employer.</w:t>
            </w:r>
          </w:p>
        </w:tc>
        <w:tc>
          <w:tcPr>
            <w:tcW w:w="3260" w:type="dxa"/>
            <w:tcBorders>
              <w:bottom w:val="single" w:sz="4" w:space="0" w:color="auto"/>
            </w:tcBorders>
            <w:tcMar>
              <w:left w:w="108" w:type="dxa"/>
              <w:right w:w="108" w:type="dxa"/>
            </w:tcMar>
          </w:tcPr>
          <w:p w:rsidR="00F52D62" w:rsidRPr="00987C7F" w:rsidRDefault="00F52D62" w:rsidP="00165722">
            <w:pPr>
              <w:pStyle w:val="Normal1"/>
              <w:rPr>
                <w:rFonts w:ascii="Arial" w:hAnsi="Arial"/>
                <w:strike/>
                <w:color w:val="auto"/>
                <w:sz w:val="20"/>
                <w:szCs w:val="20"/>
              </w:rPr>
            </w:pPr>
            <w:r w:rsidRPr="00987C7F">
              <w:rPr>
                <w:rFonts w:ascii="Arial" w:eastAsia="Arial Narrow" w:hAnsi="Arial" w:cs="Arial Narrow"/>
                <w:color w:val="auto"/>
                <w:sz w:val="20"/>
                <w:szCs w:val="20"/>
              </w:rPr>
              <w:t>Implement a recruitment strategy which incorporates people with disabilities.</w:t>
            </w:r>
          </w:p>
        </w:tc>
        <w:tc>
          <w:tcPr>
            <w:tcW w:w="3119"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and Director of Staff and Student Equal Opportunity Unit</w:t>
            </w:r>
          </w:p>
        </w:tc>
        <w:tc>
          <w:tcPr>
            <w:tcW w:w="1559" w:type="dxa"/>
            <w:tcBorders>
              <w:bottom w:val="single" w:sz="4" w:space="0" w:color="auto"/>
            </w:tcBorders>
            <w:tcMar>
              <w:left w:w="108" w:type="dxa"/>
              <w:right w:w="108" w:type="dxa"/>
            </w:tcMar>
          </w:tcPr>
          <w:p w:rsidR="00F52D62" w:rsidRDefault="00F52D62" w:rsidP="00165722">
            <w:pPr>
              <w:pStyle w:val="Normal1"/>
              <w:rPr>
                <w:rFonts w:ascii="Arial" w:hAnsi="Arial"/>
                <w:color w:val="auto"/>
                <w:sz w:val="20"/>
                <w:szCs w:val="20"/>
              </w:rPr>
            </w:pPr>
            <w:r w:rsidRPr="00987C7F">
              <w:rPr>
                <w:rFonts w:ascii="Arial" w:hAnsi="Arial"/>
                <w:color w:val="auto"/>
                <w:sz w:val="20"/>
                <w:szCs w:val="20"/>
              </w:rPr>
              <w:t>April 2013 and quarterly review</w:t>
            </w:r>
          </w:p>
          <w:p w:rsidR="00DB76D8" w:rsidRPr="00987C7F" w:rsidRDefault="00DB76D8" w:rsidP="00165722">
            <w:pPr>
              <w:pStyle w:val="Normal1"/>
              <w:rPr>
                <w:rFonts w:ascii="Arial" w:hAnsi="Arial"/>
                <w:color w:val="auto"/>
                <w:sz w:val="20"/>
                <w:szCs w:val="20"/>
              </w:rPr>
            </w:pPr>
          </w:p>
        </w:tc>
      </w:tr>
      <w:tr w:rsidR="006C36AF" w:rsidRPr="00987C7F" w:rsidTr="006C36AF">
        <w:trPr>
          <w:trHeight w:val="1119"/>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Recruitment and hiring processes reflect a commitment to employing people with disabilities.</w:t>
            </w:r>
          </w:p>
        </w:tc>
        <w:tc>
          <w:tcPr>
            <w:tcW w:w="311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and Director of Staff and Student Equal Opportunity</w:t>
            </w:r>
          </w:p>
        </w:tc>
        <w:tc>
          <w:tcPr>
            <w:tcW w:w="155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April 2013 and quarterly review</w:t>
            </w:r>
          </w:p>
        </w:tc>
      </w:tr>
      <w:tr w:rsidR="006C36AF" w:rsidRPr="00987C7F" w:rsidTr="006C36AF">
        <w:trPr>
          <w:trHeight w:val="1336"/>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tcBorders>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Human Resources teams trained to give relevant disability-related information to applicants about University policies, facilities, or services.</w:t>
            </w:r>
          </w:p>
        </w:tc>
        <w:tc>
          <w:tcPr>
            <w:tcW w:w="311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w:t>
            </w:r>
          </w:p>
        </w:tc>
        <w:tc>
          <w:tcPr>
            <w:tcW w:w="155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July 2013 and quarterly review</w:t>
            </w:r>
          </w:p>
        </w:tc>
      </w:tr>
      <w:tr w:rsidR="006C36AF" w:rsidRPr="00987C7F" w:rsidTr="006C36AF">
        <w:trPr>
          <w:trHeight w:val="844"/>
        </w:trPr>
        <w:tc>
          <w:tcPr>
            <w:tcW w:w="1843" w:type="dxa"/>
            <w:vMerge w:val="restart"/>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 xml:space="preserve">3.2 Provide a supportive working environment that </w:t>
            </w:r>
            <w:proofErr w:type="spellStart"/>
            <w:r w:rsidRPr="00987C7F">
              <w:rPr>
                <w:rFonts w:ascii="Arial" w:eastAsia="Arial Narrow" w:hAnsi="Arial" w:cs="Arial Narrow"/>
                <w:color w:val="auto"/>
                <w:sz w:val="20"/>
                <w:szCs w:val="20"/>
              </w:rPr>
              <w:t>maximises</w:t>
            </w:r>
            <w:proofErr w:type="spellEnd"/>
            <w:r w:rsidRPr="00987C7F">
              <w:rPr>
                <w:rFonts w:ascii="Arial" w:eastAsia="Arial Narrow" w:hAnsi="Arial" w:cs="Arial Narrow"/>
                <w:color w:val="auto"/>
                <w:sz w:val="20"/>
                <w:szCs w:val="20"/>
              </w:rPr>
              <w:t xml:space="preserve"> awareness of disability issues among staff, along with access and participation</w:t>
            </w:r>
          </w:p>
        </w:tc>
        <w:tc>
          <w:tcPr>
            <w:tcW w:w="3260" w:type="dxa"/>
            <w:tcBorders>
              <w:bottom w:val="single" w:sz="4" w:space="0" w:color="auto"/>
            </w:tcBorders>
            <w:tcMar>
              <w:left w:w="108" w:type="dxa"/>
              <w:right w:w="108" w:type="dxa"/>
            </w:tcMar>
          </w:tcPr>
          <w:p w:rsidR="00F52D62"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Development of a range of tools including training, fact sheets and guidelines and learning resources for staff around supporting staff with disabilities. It will include the implementation of compulsory disability awareness training for all staff.</w:t>
            </w:r>
          </w:p>
          <w:p w:rsidR="00DB76D8" w:rsidRPr="00987C7F" w:rsidRDefault="00DB76D8" w:rsidP="00165722">
            <w:pPr>
              <w:pStyle w:val="Normal1"/>
              <w:rPr>
                <w:rFonts w:ascii="Arial" w:hAnsi="Arial"/>
                <w:color w:val="auto"/>
                <w:sz w:val="20"/>
                <w:szCs w:val="20"/>
              </w:rPr>
            </w:pPr>
          </w:p>
        </w:tc>
        <w:tc>
          <w:tcPr>
            <w:tcW w:w="3119"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Director, Staff and Student Equal Opportunity Unit and Deputy Vice-Chancellor (Education)</w:t>
            </w:r>
          </w:p>
        </w:tc>
        <w:tc>
          <w:tcPr>
            <w:tcW w:w="1559"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July 2013 and quarterly review</w:t>
            </w:r>
          </w:p>
          <w:p w:rsidR="00F52D62" w:rsidRPr="00987C7F" w:rsidRDefault="00F52D62" w:rsidP="00165722">
            <w:pPr>
              <w:pStyle w:val="Normal1"/>
              <w:rPr>
                <w:rFonts w:ascii="Arial" w:hAnsi="Arial"/>
                <w:color w:val="auto"/>
                <w:sz w:val="20"/>
                <w:szCs w:val="20"/>
              </w:rPr>
            </w:pPr>
          </w:p>
        </w:tc>
      </w:tr>
      <w:tr w:rsidR="006C36AF" w:rsidRPr="00987C7F" w:rsidTr="00DB76D8">
        <w:trPr>
          <w:trHeight w:val="1973"/>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tcBorders>
            <w:tcMar>
              <w:left w:w="108" w:type="dxa"/>
              <w:right w:w="108" w:type="dxa"/>
            </w:tcMar>
          </w:tcPr>
          <w:p w:rsidR="00F52D62" w:rsidRDefault="00F52D62" w:rsidP="001E5981">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Promotion of the roles of the Staff and Student Equal Opportunity Unit, Human Resources and the Employee Assistance Program to increase the knowledge of services</w:t>
            </w:r>
            <w:r w:rsidR="001E5981">
              <w:rPr>
                <w:rFonts w:ascii="Arial" w:eastAsia="Arial Narrow" w:hAnsi="Arial" w:cs="Arial Narrow"/>
                <w:color w:val="auto"/>
                <w:sz w:val="20"/>
                <w:szCs w:val="20"/>
              </w:rPr>
              <w:t xml:space="preserve"> </w:t>
            </w:r>
            <w:r w:rsidR="001E5981" w:rsidRPr="00987C7F">
              <w:rPr>
                <w:rFonts w:ascii="Arial" w:eastAsia="Arial Narrow" w:hAnsi="Arial" w:cs="Arial Narrow"/>
                <w:color w:val="auto"/>
                <w:sz w:val="20"/>
                <w:szCs w:val="20"/>
              </w:rPr>
              <w:t>available</w:t>
            </w:r>
            <w:r w:rsidRPr="00987C7F">
              <w:rPr>
                <w:rFonts w:ascii="Arial" w:eastAsia="Arial Narrow" w:hAnsi="Arial" w:cs="Arial Narrow"/>
                <w:color w:val="auto"/>
                <w:sz w:val="20"/>
                <w:szCs w:val="20"/>
              </w:rPr>
              <w:t xml:space="preserve"> to staff. All staff provided with the appropriate resources to maintain a </w:t>
            </w:r>
            <w:r w:rsidR="008D237C">
              <w:rPr>
                <w:rFonts w:ascii="Arial" w:eastAsia="Arial Narrow" w:hAnsi="Arial" w:cs="Arial Narrow"/>
                <w:color w:val="auto"/>
                <w:sz w:val="20"/>
                <w:szCs w:val="20"/>
              </w:rPr>
              <w:t>supportive working environment.</w:t>
            </w:r>
          </w:p>
          <w:p w:rsidR="00DB76D8" w:rsidRPr="00987C7F" w:rsidRDefault="00DB76D8" w:rsidP="001E5981">
            <w:pPr>
              <w:pStyle w:val="Normal1"/>
              <w:rPr>
                <w:rFonts w:ascii="Arial" w:eastAsia="Arial Narrow" w:hAnsi="Arial" w:cs="Arial Narrow"/>
                <w:color w:val="auto"/>
                <w:sz w:val="20"/>
                <w:szCs w:val="20"/>
              </w:rPr>
            </w:pPr>
          </w:p>
        </w:tc>
        <w:tc>
          <w:tcPr>
            <w:tcW w:w="311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and Director, Staff and Student Equal Opportunity Unit, deans and directors</w:t>
            </w:r>
          </w:p>
        </w:tc>
        <w:tc>
          <w:tcPr>
            <w:tcW w:w="155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August 2013 and quarterly review</w:t>
            </w:r>
          </w:p>
        </w:tc>
      </w:tr>
      <w:tr w:rsidR="006C36AF" w:rsidRPr="00987C7F" w:rsidTr="008D237C">
        <w:trPr>
          <w:trHeight w:val="893"/>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tcBorders>
            <w:tcMar>
              <w:left w:w="108" w:type="dxa"/>
              <w:right w:w="108" w:type="dxa"/>
            </w:tcMar>
          </w:tcPr>
          <w:p w:rsidR="00F52D62"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Opportunities developed for staff to learn and appreciate the lived experience of disability and the associated complexities.</w:t>
            </w:r>
          </w:p>
          <w:p w:rsidR="00DB76D8" w:rsidRPr="00987C7F" w:rsidRDefault="00DB76D8" w:rsidP="00165722">
            <w:pPr>
              <w:pStyle w:val="Normal1"/>
              <w:rPr>
                <w:rFonts w:ascii="Arial" w:hAnsi="Arial"/>
                <w:color w:val="auto"/>
                <w:sz w:val="20"/>
                <w:szCs w:val="20"/>
              </w:rPr>
            </w:pPr>
          </w:p>
        </w:tc>
        <w:tc>
          <w:tcPr>
            <w:tcW w:w="311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and Director, Staff and Student Equal Opportunity Unit</w:t>
            </w:r>
          </w:p>
        </w:tc>
        <w:tc>
          <w:tcPr>
            <w:tcW w:w="155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December 2013 and annual review</w:t>
            </w:r>
          </w:p>
        </w:tc>
      </w:tr>
      <w:tr w:rsidR="006C36AF" w:rsidRPr="00987C7F" w:rsidTr="006C36AF">
        <w:trPr>
          <w:trHeight w:val="1836"/>
        </w:trPr>
        <w:tc>
          <w:tcPr>
            <w:tcW w:w="1843" w:type="dxa"/>
            <w:vMerge w:val="restart"/>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3.3 Provide equitable support services that are available to all staff who need support</w:t>
            </w:r>
          </w:p>
        </w:tc>
        <w:tc>
          <w:tcPr>
            <w:tcW w:w="3260"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Research and implementation of programs which successfully support staff with disabilities in the workplace. Sufficient information will be developed to effectively identify staff needs and develop and maintain a database.</w:t>
            </w:r>
          </w:p>
        </w:tc>
        <w:tc>
          <w:tcPr>
            <w:tcW w:w="311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and Director, Staff and Student Equal Opportunity Unit</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c>
          <w:tcPr>
            <w:tcW w:w="155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July 2013 and annual review</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r>
      <w:tr w:rsidR="006C36AF" w:rsidRPr="00987C7F" w:rsidTr="00DB76D8">
        <w:trPr>
          <w:trHeight w:val="1121"/>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Mar>
              <w:left w:w="108" w:type="dxa"/>
              <w:right w:w="108" w:type="dxa"/>
            </w:tcMar>
          </w:tcPr>
          <w:p w:rsidR="00F52D62"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Development of an Accessible Employee Network to support and encourage the career development of staff with disabilities in the workplace.</w:t>
            </w:r>
          </w:p>
          <w:p w:rsidR="00DB76D8" w:rsidRPr="00987C7F" w:rsidRDefault="00DB76D8" w:rsidP="00165722">
            <w:pPr>
              <w:pStyle w:val="Normal1"/>
              <w:rPr>
                <w:rFonts w:ascii="Arial" w:eastAsia="Arial Narrow" w:hAnsi="Arial" w:cs="Arial Narrow"/>
                <w:color w:val="auto"/>
                <w:sz w:val="20"/>
                <w:szCs w:val="20"/>
              </w:rPr>
            </w:pPr>
          </w:p>
        </w:tc>
        <w:tc>
          <w:tcPr>
            <w:tcW w:w="311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and Director, Staff and Student Equal Opportunity Unit</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c>
          <w:tcPr>
            <w:tcW w:w="155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August 2013</w:t>
            </w:r>
          </w:p>
        </w:tc>
      </w:tr>
    </w:tbl>
    <w:p w:rsidR="00165722" w:rsidRPr="00987C7F" w:rsidRDefault="00165722" w:rsidP="00165722">
      <w:pPr>
        <w:pStyle w:val="Normal1"/>
        <w:rPr>
          <w:rFonts w:ascii="Arial" w:eastAsia="Arial Narrow" w:hAnsi="Arial" w:cs="Arial Narrow"/>
          <w:b/>
          <w:color w:val="auto"/>
          <w:sz w:val="20"/>
          <w:szCs w:val="20"/>
        </w:rPr>
      </w:pPr>
    </w:p>
    <w:p w:rsidR="000A5190" w:rsidRDefault="000A5190">
      <w:pPr>
        <w:spacing w:before="0" w:after="0"/>
        <w:rPr>
          <w:rFonts w:eastAsia="Arial Narrow" w:cs="Arial Narrow"/>
          <w:b/>
          <w:szCs w:val="20"/>
          <w:lang w:val="en-US" w:eastAsia="ja-JP"/>
        </w:rPr>
      </w:pPr>
      <w:r>
        <w:rPr>
          <w:rFonts w:eastAsia="Arial Narrow" w:cs="Arial Narrow"/>
          <w:b/>
          <w:szCs w:val="20"/>
        </w:rPr>
        <w:br w:type="page"/>
      </w:r>
    </w:p>
    <w:p w:rsidR="00165722" w:rsidRPr="00987C7F" w:rsidRDefault="000A5190" w:rsidP="00E1390B">
      <w:pPr>
        <w:pStyle w:val="Heading3"/>
      </w:pPr>
      <w:bookmarkStart w:id="30" w:name="_Toc357508227"/>
      <w:r>
        <w:lastRenderedPageBreak/>
        <w:t xml:space="preserve">Objective 4: </w:t>
      </w:r>
      <w:r w:rsidR="00165722" w:rsidRPr="00987C7F">
        <w:t>The University’s communication and digital environment is accessible</w:t>
      </w:r>
      <w:r w:rsidR="00AE6966">
        <w:t xml:space="preserve"> to</w:t>
      </w:r>
      <w:r>
        <w:t xml:space="preserve"> people with disabilities</w:t>
      </w:r>
      <w:bookmarkEnd w:id="30"/>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43"/>
        <w:gridCol w:w="3260"/>
        <w:gridCol w:w="3119"/>
        <w:gridCol w:w="1559"/>
      </w:tblGrid>
      <w:tr w:rsidR="006C36AF" w:rsidRPr="00987C7F" w:rsidTr="006C36AF">
        <w:tc>
          <w:tcPr>
            <w:tcW w:w="1843"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Strategy</w:t>
            </w:r>
          </w:p>
        </w:tc>
        <w:tc>
          <w:tcPr>
            <w:tcW w:w="3260"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Outcome</w:t>
            </w:r>
          </w:p>
        </w:tc>
        <w:tc>
          <w:tcPr>
            <w:tcW w:w="3119" w:type="dxa"/>
            <w:tcMar>
              <w:left w:w="108" w:type="dxa"/>
              <w:right w:w="108" w:type="dxa"/>
            </w:tcMar>
          </w:tcPr>
          <w:p w:rsidR="00F52D62" w:rsidRPr="00987C7F" w:rsidRDefault="00F52D62" w:rsidP="00165722">
            <w:pPr>
              <w:pStyle w:val="Normal1"/>
              <w:ind w:hanging="33"/>
              <w:rPr>
                <w:rFonts w:ascii="Arial" w:hAnsi="Arial"/>
                <w:color w:val="auto"/>
                <w:sz w:val="20"/>
                <w:szCs w:val="20"/>
              </w:rPr>
            </w:pPr>
            <w:r w:rsidRPr="00987C7F">
              <w:rPr>
                <w:rFonts w:ascii="Arial" w:eastAsia="Arial Narrow" w:hAnsi="Arial" w:cs="Arial Narrow"/>
                <w:b/>
                <w:color w:val="auto"/>
                <w:sz w:val="20"/>
                <w:szCs w:val="20"/>
              </w:rPr>
              <w:t>Key responsibilities</w:t>
            </w:r>
          </w:p>
        </w:tc>
        <w:tc>
          <w:tcPr>
            <w:tcW w:w="155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Target date</w:t>
            </w:r>
          </w:p>
        </w:tc>
      </w:tr>
      <w:tr w:rsidR="006C36AF" w:rsidRPr="00987C7F" w:rsidTr="004E346C">
        <w:trPr>
          <w:trHeight w:val="1116"/>
        </w:trPr>
        <w:tc>
          <w:tcPr>
            <w:tcW w:w="1843" w:type="dxa"/>
            <w:vMerge w:val="restart"/>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4.1 The University will be a leading provider of accessible information and technology services.</w:t>
            </w:r>
            <w:r w:rsidRPr="00987C7F">
              <w:rPr>
                <w:rFonts w:ascii="Arial" w:eastAsia="Arial Narrow" w:hAnsi="Arial" w:cs="Arial Narrow"/>
                <w:color w:val="auto"/>
                <w:sz w:val="20"/>
                <w:szCs w:val="20"/>
              </w:rPr>
              <w:br/>
            </w:r>
          </w:p>
          <w:p w:rsidR="00F52D62" w:rsidRPr="00987C7F" w:rsidRDefault="00F52D62" w:rsidP="00165722">
            <w:pPr>
              <w:pStyle w:val="Normal1"/>
              <w:rPr>
                <w:rFonts w:ascii="Arial" w:hAnsi="Arial"/>
                <w:color w:val="auto"/>
                <w:sz w:val="20"/>
                <w:szCs w:val="20"/>
              </w:rPr>
            </w:pPr>
          </w:p>
        </w:tc>
        <w:tc>
          <w:tcPr>
            <w:tcW w:w="3260" w:type="dxa"/>
            <w:tcBorders>
              <w:bottom w:val="single" w:sz="4" w:space="0" w:color="auto"/>
            </w:tcBorders>
            <w:tcMar>
              <w:left w:w="108" w:type="dxa"/>
              <w:right w:w="108" w:type="dxa"/>
            </w:tcMar>
          </w:tcPr>
          <w:p w:rsidR="00F52D62" w:rsidRPr="00987C7F" w:rsidRDefault="00F52D62" w:rsidP="008D237C">
            <w:pPr>
              <w:pStyle w:val="Normal1"/>
              <w:rPr>
                <w:rFonts w:ascii="Arial" w:hAnsi="Arial"/>
                <w:color w:val="auto"/>
                <w:sz w:val="20"/>
                <w:szCs w:val="20"/>
              </w:rPr>
            </w:pPr>
            <w:r w:rsidRPr="00987C7F">
              <w:rPr>
                <w:rFonts w:ascii="Arial" w:eastAsia="Arial Narrow" w:hAnsi="Arial" w:cs="Arial Narrow"/>
                <w:color w:val="auto"/>
                <w:sz w:val="20"/>
                <w:szCs w:val="20"/>
              </w:rPr>
              <w:t>The University will undertake a digital access audit and develop a digital access plan and priority action list</w:t>
            </w:r>
            <w:r w:rsidR="008D237C">
              <w:rPr>
                <w:rFonts w:ascii="Arial" w:hAnsi="Arial"/>
                <w:color w:val="auto"/>
                <w:sz w:val="20"/>
                <w:szCs w:val="20"/>
              </w:rPr>
              <w:t>.</w:t>
            </w:r>
          </w:p>
        </w:tc>
        <w:tc>
          <w:tcPr>
            <w:tcW w:w="3119"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Chief Information Officer</w:t>
            </w:r>
            <w:r w:rsidRPr="00987C7F">
              <w:rPr>
                <w:rFonts w:ascii="Arial" w:eastAsia="Arial Narrow" w:hAnsi="Arial" w:cs="Arial Narrow"/>
                <w:color w:val="auto"/>
                <w:sz w:val="20"/>
                <w:szCs w:val="20"/>
              </w:rPr>
              <w:t xml:space="preserve">, </w:t>
            </w:r>
            <w:r w:rsidRPr="00987C7F">
              <w:rPr>
                <w:rFonts w:ascii="Arial" w:hAnsi="Arial"/>
                <w:color w:val="auto"/>
                <w:sz w:val="20"/>
                <w:szCs w:val="20"/>
              </w:rPr>
              <w:t>Director,</w:t>
            </w:r>
            <w:r w:rsidRPr="00987C7F">
              <w:rPr>
                <w:rFonts w:ascii="Arial" w:eastAsia="Arial Narrow" w:hAnsi="Arial" w:cs="Arial Narrow"/>
                <w:color w:val="auto"/>
                <w:sz w:val="20"/>
                <w:szCs w:val="20"/>
              </w:rPr>
              <w:t xml:space="preserve"> Marketing and Communications, Director, Library Services, eLearning and webmasters</w:t>
            </w:r>
          </w:p>
        </w:tc>
        <w:tc>
          <w:tcPr>
            <w:tcW w:w="1559" w:type="dxa"/>
            <w:tcBorders>
              <w:bottom w:val="single" w:sz="4" w:space="0" w:color="auto"/>
            </w:tcBorders>
            <w:tcMar>
              <w:left w:w="108" w:type="dxa"/>
              <w:right w:w="108" w:type="dxa"/>
            </w:tcMar>
          </w:tcPr>
          <w:p w:rsidR="00F52D62" w:rsidRPr="00987C7F" w:rsidRDefault="00F52D62" w:rsidP="00CC3727">
            <w:pPr>
              <w:pStyle w:val="Normal10"/>
              <w:rPr>
                <w:rFonts w:ascii="Arial" w:hAnsi="Arial"/>
                <w:color w:val="auto"/>
                <w:sz w:val="20"/>
                <w:szCs w:val="20"/>
              </w:rPr>
            </w:pPr>
            <w:r w:rsidRPr="00987C7F">
              <w:rPr>
                <w:rFonts w:ascii="Arial" w:hAnsi="Arial"/>
                <w:color w:val="auto"/>
                <w:sz w:val="20"/>
                <w:szCs w:val="20"/>
              </w:rPr>
              <w:t>December 2013</w:t>
            </w:r>
          </w:p>
        </w:tc>
      </w:tr>
      <w:tr w:rsidR="006C36AF" w:rsidRPr="00987C7F" w:rsidTr="008D237C">
        <w:trPr>
          <w:trHeight w:val="1178"/>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F52D62" w:rsidRPr="008D237C" w:rsidRDefault="00F52D62" w:rsidP="008D237C">
            <w:pPr>
              <w:pStyle w:val="Normal1"/>
              <w:rPr>
                <w:rFonts w:ascii="Arial" w:hAnsi="Arial"/>
                <w:color w:val="auto"/>
                <w:sz w:val="20"/>
                <w:szCs w:val="20"/>
              </w:rPr>
            </w:pPr>
            <w:r w:rsidRPr="00987C7F">
              <w:rPr>
                <w:rFonts w:ascii="Arial" w:eastAsia="Arial Narrow" w:hAnsi="Arial" w:cs="Arial Narrow"/>
                <w:color w:val="auto"/>
                <w:sz w:val="20"/>
                <w:szCs w:val="20"/>
              </w:rPr>
              <w:t>All University websites, web content and web applications conform to current best practice and standards*.</w:t>
            </w:r>
          </w:p>
        </w:tc>
        <w:tc>
          <w:tcPr>
            <w:tcW w:w="311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Chief Information Officer</w:t>
            </w:r>
            <w:r w:rsidRPr="00987C7F">
              <w:rPr>
                <w:rFonts w:ascii="Arial" w:eastAsia="Arial Narrow" w:hAnsi="Arial" w:cs="Arial Narrow"/>
                <w:color w:val="auto"/>
                <w:sz w:val="20"/>
                <w:szCs w:val="20"/>
              </w:rPr>
              <w:t xml:space="preserve">, </w:t>
            </w:r>
            <w:r w:rsidRPr="00987C7F">
              <w:rPr>
                <w:rFonts w:ascii="Arial" w:hAnsi="Arial"/>
                <w:color w:val="auto"/>
                <w:sz w:val="20"/>
                <w:szCs w:val="20"/>
              </w:rPr>
              <w:t>Director,</w:t>
            </w:r>
            <w:r w:rsidRPr="00987C7F">
              <w:rPr>
                <w:rFonts w:ascii="Arial" w:eastAsia="Arial Narrow" w:hAnsi="Arial" w:cs="Arial Narrow"/>
                <w:color w:val="auto"/>
                <w:sz w:val="20"/>
                <w:szCs w:val="20"/>
              </w:rPr>
              <w:t xml:space="preserve"> Marketing and Communications, Director, Library Services, eLearning and webmasters</w:t>
            </w:r>
          </w:p>
        </w:tc>
        <w:tc>
          <w:tcPr>
            <w:tcW w:w="1559" w:type="dxa"/>
            <w:tcBorders>
              <w:top w:val="single" w:sz="4" w:space="0" w:color="auto"/>
              <w:bottom w:val="single" w:sz="4" w:space="0" w:color="auto"/>
            </w:tcBorders>
            <w:tcMar>
              <w:left w:w="108" w:type="dxa"/>
              <w:right w:w="108" w:type="dxa"/>
            </w:tcMar>
          </w:tcPr>
          <w:p w:rsidR="00F52D62" w:rsidRPr="00987C7F" w:rsidRDefault="00F52D62" w:rsidP="00165722">
            <w:pPr>
              <w:pStyle w:val="Normal10"/>
              <w:rPr>
                <w:rFonts w:ascii="Arial" w:hAnsi="Arial"/>
                <w:color w:val="auto"/>
                <w:sz w:val="20"/>
                <w:szCs w:val="20"/>
              </w:rPr>
            </w:pPr>
            <w:r w:rsidRPr="00987C7F">
              <w:rPr>
                <w:rFonts w:ascii="Arial" w:hAnsi="Arial"/>
                <w:color w:val="auto"/>
                <w:sz w:val="20"/>
                <w:szCs w:val="20"/>
              </w:rPr>
              <w:t>December 2014 &amp; quarterly review</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r>
      <w:tr w:rsidR="006C36AF" w:rsidRPr="00987C7F" w:rsidTr="008D237C">
        <w:trPr>
          <w:trHeight w:val="1258"/>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F52D62" w:rsidRPr="008D237C" w:rsidRDefault="00F52D62" w:rsidP="008D237C">
            <w:pPr>
              <w:pStyle w:val="Normal1"/>
              <w:rPr>
                <w:rFonts w:ascii="Arial" w:hAnsi="Arial"/>
                <w:color w:val="auto"/>
                <w:sz w:val="20"/>
                <w:szCs w:val="20"/>
              </w:rPr>
            </w:pPr>
            <w:r w:rsidRPr="00987C7F">
              <w:rPr>
                <w:rFonts w:ascii="Arial" w:eastAsia="Arial Narrow" w:hAnsi="Arial" w:cs="Arial Narrow"/>
                <w:color w:val="auto"/>
                <w:sz w:val="20"/>
                <w:szCs w:val="20"/>
              </w:rPr>
              <w:t>Appropriate accessible information and technology training provided for all content providers and technical contributors to web services.</w:t>
            </w:r>
          </w:p>
        </w:tc>
        <w:tc>
          <w:tcPr>
            <w:tcW w:w="311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Chief Information Officer</w:t>
            </w:r>
            <w:r w:rsidRPr="00987C7F">
              <w:rPr>
                <w:rFonts w:ascii="Arial" w:eastAsia="Arial Narrow" w:hAnsi="Arial" w:cs="Arial Narrow"/>
                <w:color w:val="auto"/>
                <w:sz w:val="20"/>
                <w:szCs w:val="20"/>
              </w:rPr>
              <w:t xml:space="preserve">, </w:t>
            </w:r>
            <w:r w:rsidRPr="00987C7F">
              <w:rPr>
                <w:rFonts w:ascii="Arial" w:hAnsi="Arial"/>
                <w:color w:val="auto"/>
                <w:sz w:val="20"/>
                <w:szCs w:val="20"/>
              </w:rPr>
              <w:t>Director,</w:t>
            </w:r>
            <w:r w:rsidRPr="00987C7F">
              <w:rPr>
                <w:rFonts w:ascii="Arial" w:eastAsia="Arial Narrow" w:hAnsi="Arial" w:cs="Arial Narrow"/>
                <w:color w:val="auto"/>
                <w:sz w:val="20"/>
                <w:szCs w:val="20"/>
              </w:rPr>
              <w:t xml:space="preserve"> Marketing and Communications, Director Library Services, eLearning and webmasters</w:t>
            </w:r>
          </w:p>
        </w:tc>
        <w:tc>
          <w:tcPr>
            <w:tcW w:w="1559" w:type="dxa"/>
            <w:tcBorders>
              <w:top w:val="single" w:sz="4" w:space="0" w:color="auto"/>
              <w:bottom w:val="single" w:sz="4" w:space="0" w:color="auto"/>
            </w:tcBorders>
            <w:tcMar>
              <w:left w:w="108" w:type="dxa"/>
              <w:right w:w="108" w:type="dxa"/>
            </w:tcMar>
          </w:tcPr>
          <w:p w:rsidR="00F52D62" w:rsidRPr="00987C7F" w:rsidRDefault="00F52D62" w:rsidP="00165722">
            <w:pPr>
              <w:pStyle w:val="Normal10"/>
              <w:rPr>
                <w:rFonts w:ascii="Arial" w:hAnsi="Arial"/>
                <w:color w:val="auto"/>
                <w:sz w:val="20"/>
                <w:szCs w:val="20"/>
              </w:rPr>
            </w:pPr>
            <w:r w:rsidRPr="00987C7F">
              <w:rPr>
                <w:rFonts w:ascii="Arial" w:hAnsi="Arial"/>
                <w:color w:val="auto"/>
                <w:sz w:val="20"/>
                <w:szCs w:val="20"/>
              </w:rPr>
              <w:t>December 2013 &amp; quarterly review</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r>
      <w:tr w:rsidR="006C36AF" w:rsidRPr="00987C7F" w:rsidTr="006C36AF">
        <w:trPr>
          <w:trHeight w:val="40"/>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Web accessibility requirements embedded in web development and procurement processes. Web authoring software that provides compliant output will be selected.</w:t>
            </w:r>
          </w:p>
        </w:tc>
        <w:tc>
          <w:tcPr>
            <w:tcW w:w="311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Chief Information Officer</w:t>
            </w:r>
            <w:r w:rsidRPr="00987C7F">
              <w:rPr>
                <w:rFonts w:ascii="Arial" w:eastAsia="Arial Narrow" w:hAnsi="Arial" w:cs="Arial Narrow"/>
                <w:color w:val="auto"/>
                <w:sz w:val="20"/>
                <w:szCs w:val="20"/>
              </w:rPr>
              <w:t xml:space="preserve">, </w:t>
            </w:r>
            <w:r w:rsidRPr="00987C7F">
              <w:rPr>
                <w:rFonts w:ascii="Arial" w:hAnsi="Arial"/>
                <w:color w:val="auto"/>
                <w:sz w:val="20"/>
                <w:szCs w:val="20"/>
              </w:rPr>
              <w:t>Director,</w:t>
            </w:r>
            <w:r w:rsidRPr="00987C7F">
              <w:rPr>
                <w:rFonts w:ascii="Arial" w:eastAsia="Arial Narrow" w:hAnsi="Arial" w:cs="Arial Narrow"/>
                <w:color w:val="auto"/>
                <w:sz w:val="20"/>
                <w:szCs w:val="20"/>
              </w:rPr>
              <w:t xml:space="preserve"> Marketing and Communications, Director Library Services, eLearning and webmasters</w:t>
            </w:r>
          </w:p>
        </w:tc>
        <w:tc>
          <w:tcPr>
            <w:tcW w:w="1559" w:type="dxa"/>
            <w:tcBorders>
              <w:top w:val="single" w:sz="4" w:space="0" w:color="auto"/>
              <w:bottom w:val="single" w:sz="4" w:space="0" w:color="auto"/>
            </w:tcBorders>
            <w:tcMar>
              <w:left w:w="108" w:type="dxa"/>
              <w:right w:w="108" w:type="dxa"/>
            </w:tcMar>
          </w:tcPr>
          <w:p w:rsidR="00F52D62" w:rsidRPr="00987C7F" w:rsidRDefault="00F52D62" w:rsidP="00165722">
            <w:pPr>
              <w:pStyle w:val="Normal10"/>
              <w:rPr>
                <w:rFonts w:ascii="Arial" w:hAnsi="Arial"/>
                <w:color w:val="auto"/>
                <w:sz w:val="20"/>
                <w:szCs w:val="20"/>
              </w:rPr>
            </w:pPr>
            <w:r w:rsidRPr="00987C7F">
              <w:rPr>
                <w:rFonts w:ascii="Arial" w:hAnsi="Arial"/>
                <w:color w:val="auto"/>
                <w:sz w:val="20"/>
                <w:szCs w:val="20"/>
              </w:rPr>
              <w:t>July 2013 &amp; quarterly review</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r>
      <w:tr w:rsidR="006C36AF" w:rsidRPr="00987C7F" w:rsidTr="006C36AF">
        <w:trPr>
          <w:trHeight w:val="1790"/>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F52D62" w:rsidRPr="00987C7F" w:rsidRDefault="00F52D62" w:rsidP="00E4030E">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olor w:val="auto"/>
                <w:sz w:val="20"/>
                <w:szCs w:val="20"/>
              </w:rPr>
            </w:pPr>
            <w:r w:rsidRPr="00987C7F">
              <w:rPr>
                <w:rFonts w:ascii="Arial" w:eastAsia="Arial Narrow" w:hAnsi="Arial" w:cs="Arial Narrow"/>
                <w:color w:val="auto"/>
                <w:sz w:val="20"/>
                <w:szCs w:val="20"/>
              </w:rPr>
              <w:t xml:space="preserve">Increase </w:t>
            </w:r>
            <w:r>
              <w:rPr>
                <w:rFonts w:ascii="Arial" w:eastAsia="Arial Narrow" w:hAnsi="Arial" w:cs="Arial Narrow"/>
                <w:color w:val="auto"/>
                <w:sz w:val="20"/>
                <w:szCs w:val="20"/>
              </w:rPr>
              <w:t xml:space="preserve">availability of </w:t>
            </w:r>
            <w:r w:rsidRPr="00987C7F">
              <w:rPr>
                <w:rFonts w:ascii="Arial" w:eastAsia="Arial Narrow" w:hAnsi="Arial" w:cs="Arial Narrow"/>
                <w:color w:val="auto"/>
                <w:sz w:val="20"/>
                <w:szCs w:val="20"/>
              </w:rPr>
              <w:t xml:space="preserve">assistive technology beyond </w:t>
            </w:r>
            <w:r>
              <w:rPr>
                <w:rFonts w:ascii="Arial" w:eastAsia="Arial Narrow" w:hAnsi="Arial" w:cs="Arial Narrow"/>
                <w:color w:val="auto"/>
                <w:sz w:val="20"/>
                <w:szCs w:val="20"/>
              </w:rPr>
              <w:t>current</w:t>
            </w:r>
            <w:r w:rsidRPr="00987C7F">
              <w:rPr>
                <w:rFonts w:ascii="Arial" w:eastAsia="Arial Narrow" w:hAnsi="Arial" w:cs="Arial Narrow"/>
                <w:color w:val="auto"/>
                <w:sz w:val="20"/>
                <w:szCs w:val="20"/>
              </w:rPr>
              <w:t xml:space="preserve"> locations. Students with disabilities will have easy access to assistive technology in teaching, student lab spaces and at home.</w:t>
            </w:r>
          </w:p>
        </w:tc>
        <w:tc>
          <w:tcPr>
            <w:tcW w:w="311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Chief Information Officer</w:t>
            </w:r>
            <w:r w:rsidRPr="00987C7F">
              <w:rPr>
                <w:rFonts w:ascii="Arial" w:eastAsia="Arial Narrow" w:hAnsi="Arial" w:cs="Arial Narrow"/>
                <w:color w:val="auto"/>
                <w:sz w:val="20"/>
                <w:szCs w:val="20"/>
              </w:rPr>
              <w:t xml:space="preserve">, </w:t>
            </w:r>
            <w:r w:rsidRPr="00987C7F">
              <w:rPr>
                <w:rFonts w:ascii="Arial" w:hAnsi="Arial"/>
                <w:color w:val="auto"/>
                <w:sz w:val="20"/>
                <w:szCs w:val="20"/>
              </w:rPr>
              <w:t>Director, Campus Infrastructure Services and deputy vice-chancellors</w:t>
            </w:r>
          </w:p>
        </w:tc>
        <w:tc>
          <w:tcPr>
            <w:tcW w:w="155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December 2013 &amp; annual review</w:t>
            </w:r>
          </w:p>
        </w:tc>
      </w:tr>
      <w:tr w:rsidR="006C36AF" w:rsidRPr="00987C7F" w:rsidTr="004E346C">
        <w:trPr>
          <w:trHeight w:val="1125"/>
        </w:trPr>
        <w:tc>
          <w:tcPr>
            <w:tcW w:w="1843" w:type="dxa"/>
            <w:vMerge w:val="restart"/>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4.2 Positive and enabling language is esta</w:t>
            </w:r>
            <w:r w:rsidR="00AE6966">
              <w:rPr>
                <w:rFonts w:ascii="Arial" w:eastAsia="Arial Narrow" w:hAnsi="Arial" w:cs="Arial Narrow"/>
                <w:color w:val="auto"/>
                <w:sz w:val="20"/>
                <w:szCs w:val="20"/>
              </w:rPr>
              <w:t xml:space="preserve">blished and embedded within </w:t>
            </w:r>
            <w:r w:rsidRPr="00987C7F">
              <w:rPr>
                <w:rFonts w:ascii="Arial" w:eastAsia="Arial Narrow" w:hAnsi="Arial" w:cs="Arial Narrow"/>
                <w:color w:val="auto"/>
                <w:sz w:val="20"/>
                <w:szCs w:val="20"/>
              </w:rPr>
              <w:t>University policy, procedures and documents</w:t>
            </w:r>
          </w:p>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F52D62" w:rsidRDefault="00F52D62" w:rsidP="00165722">
            <w:pPr>
              <w:pStyle w:val="Normal1"/>
              <w:rPr>
                <w:rFonts w:ascii="Arial" w:eastAsia="Arial Narrow" w:hAnsi="Arial" w:cs="Arial Narrow"/>
                <w:color w:val="auto"/>
                <w:sz w:val="20"/>
                <w:szCs w:val="20"/>
                <w:lang w:val="en-AU"/>
              </w:rPr>
            </w:pPr>
            <w:r w:rsidRPr="00987C7F">
              <w:rPr>
                <w:rFonts w:ascii="Arial" w:eastAsia="Arial Narrow" w:hAnsi="Arial" w:cs="Arial Narrow"/>
                <w:color w:val="auto"/>
                <w:sz w:val="20"/>
                <w:szCs w:val="20"/>
              </w:rPr>
              <w:t xml:space="preserve">Development and implementation of best practice guidelines for all electronic, printed and other materials and resources. Case studies developed to monitor progress. </w:t>
            </w:r>
            <w:r w:rsidRPr="005838BE">
              <w:rPr>
                <w:rFonts w:ascii="Arial" w:eastAsia="Arial Narrow" w:hAnsi="Arial" w:cs="Arial Narrow"/>
                <w:color w:val="auto"/>
                <w:sz w:val="20"/>
                <w:szCs w:val="20"/>
                <w:lang w:val="en-AU"/>
              </w:rPr>
              <w:t>Promotional material for the University will include photos of people from diverse backgrounds, including people with disabilities. Develop best practice guidelines for taking photos of people with disabilities.</w:t>
            </w:r>
          </w:p>
          <w:p w:rsidR="00DB76D8" w:rsidRPr="00987C7F" w:rsidRDefault="00DB76D8" w:rsidP="00165722">
            <w:pPr>
              <w:pStyle w:val="Normal1"/>
              <w:rPr>
                <w:rFonts w:ascii="Arial" w:hAnsi="Arial"/>
                <w:color w:val="auto"/>
                <w:sz w:val="20"/>
                <w:szCs w:val="20"/>
              </w:rPr>
            </w:pPr>
          </w:p>
        </w:tc>
        <w:tc>
          <w:tcPr>
            <w:tcW w:w="311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Director, Marketing and Communications and Disability Action Plan Consultative Committee</w:t>
            </w:r>
          </w:p>
        </w:tc>
        <w:tc>
          <w:tcPr>
            <w:tcW w:w="1559" w:type="dxa"/>
            <w:tcBorders>
              <w:top w:val="single" w:sz="4" w:space="0" w:color="auto"/>
              <w:bottom w:val="single" w:sz="4" w:space="0" w:color="auto"/>
            </w:tcBorders>
            <w:tcMar>
              <w:left w:w="108" w:type="dxa"/>
              <w:right w:w="108" w:type="dxa"/>
            </w:tcMar>
          </w:tcPr>
          <w:p w:rsidR="00F52D62" w:rsidRPr="00987C7F" w:rsidRDefault="00F52D62" w:rsidP="00165722">
            <w:pPr>
              <w:pStyle w:val="Normal10"/>
              <w:rPr>
                <w:rFonts w:ascii="Arial" w:hAnsi="Arial"/>
                <w:color w:val="auto"/>
                <w:sz w:val="20"/>
                <w:szCs w:val="20"/>
              </w:rPr>
            </w:pPr>
            <w:r w:rsidRPr="00987C7F">
              <w:rPr>
                <w:rFonts w:ascii="Arial" w:hAnsi="Arial"/>
                <w:color w:val="auto"/>
                <w:sz w:val="20"/>
                <w:szCs w:val="20"/>
              </w:rPr>
              <w:t>December 2013</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r>
      <w:tr w:rsidR="006C36AF" w:rsidRPr="00987C7F" w:rsidTr="00DB76D8">
        <w:trPr>
          <w:trHeight w:val="1095"/>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tcBorders>
            <w:tcMar>
              <w:left w:w="108" w:type="dxa"/>
              <w:right w:w="108" w:type="dxa"/>
            </w:tcMar>
          </w:tcPr>
          <w:p w:rsidR="00F52D62"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 xml:space="preserve">Development and implementation of best practice guidelines for positive language and appropriate interfaces and inclusion of staff and students with disabilities. </w:t>
            </w:r>
          </w:p>
          <w:p w:rsidR="00DB76D8" w:rsidRPr="00987C7F" w:rsidRDefault="00DB76D8" w:rsidP="00165722">
            <w:pPr>
              <w:pStyle w:val="Normal1"/>
              <w:rPr>
                <w:rFonts w:ascii="Arial" w:eastAsia="Arial Narrow" w:hAnsi="Arial" w:cs="Arial Narrow"/>
                <w:color w:val="auto"/>
                <w:sz w:val="20"/>
                <w:szCs w:val="20"/>
              </w:rPr>
            </w:pPr>
          </w:p>
        </w:tc>
        <w:tc>
          <w:tcPr>
            <w:tcW w:w="311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Director, Human Resources, Director, Marketing and Communications and Disability Action Plan Consultative Committee</w:t>
            </w:r>
          </w:p>
        </w:tc>
        <w:tc>
          <w:tcPr>
            <w:tcW w:w="155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August 2013</w:t>
            </w:r>
          </w:p>
        </w:tc>
      </w:tr>
    </w:tbl>
    <w:p w:rsidR="000A5190" w:rsidRDefault="000A5190" w:rsidP="00165722">
      <w:pPr>
        <w:rPr>
          <w:rFonts w:eastAsia="Arial Narrow" w:cs="Arial Narrow"/>
          <w:b/>
          <w:szCs w:val="20"/>
        </w:rPr>
      </w:pPr>
    </w:p>
    <w:p w:rsidR="00165722" w:rsidRPr="00E1390B" w:rsidRDefault="000A5190" w:rsidP="00E1390B">
      <w:pPr>
        <w:pStyle w:val="Heading3"/>
        <w:rPr>
          <w:rFonts w:cs="Arial Narrow"/>
        </w:rPr>
      </w:pPr>
      <w:r>
        <w:rPr>
          <w:rFonts w:cs="Arial Narrow"/>
        </w:rPr>
        <w:br w:type="page"/>
      </w:r>
      <w:bookmarkStart w:id="31" w:name="_Toc357508228"/>
      <w:r w:rsidR="006A2174">
        <w:lastRenderedPageBreak/>
        <w:t xml:space="preserve">Objective </w:t>
      </w:r>
      <w:r w:rsidR="00E1390B">
        <w:t xml:space="preserve">5: </w:t>
      </w:r>
      <w:r w:rsidR="00165722" w:rsidRPr="00987C7F">
        <w:t>The University provides an accessible built environment to everyone.</w:t>
      </w:r>
      <w:bookmarkEnd w:id="31"/>
      <w:r w:rsidR="00165722" w:rsidRPr="00987C7F">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43"/>
        <w:gridCol w:w="3260"/>
        <w:gridCol w:w="3119"/>
        <w:gridCol w:w="1559"/>
      </w:tblGrid>
      <w:tr w:rsidR="006C36AF" w:rsidRPr="00987C7F" w:rsidTr="006C36AF">
        <w:tc>
          <w:tcPr>
            <w:tcW w:w="1843"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Strategy</w:t>
            </w:r>
          </w:p>
        </w:tc>
        <w:tc>
          <w:tcPr>
            <w:tcW w:w="3260"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 xml:space="preserve"> Outcome</w:t>
            </w:r>
          </w:p>
        </w:tc>
        <w:tc>
          <w:tcPr>
            <w:tcW w:w="311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Key responsibilities</w:t>
            </w:r>
          </w:p>
        </w:tc>
        <w:tc>
          <w:tcPr>
            <w:tcW w:w="1559" w:type="dxa"/>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b/>
                <w:color w:val="auto"/>
                <w:sz w:val="20"/>
                <w:szCs w:val="20"/>
              </w:rPr>
              <w:t>Target date</w:t>
            </w:r>
          </w:p>
        </w:tc>
      </w:tr>
      <w:tr w:rsidR="006C36AF" w:rsidRPr="00987C7F" w:rsidTr="00DB76D8">
        <w:trPr>
          <w:trHeight w:val="1090"/>
        </w:trPr>
        <w:tc>
          <w:tcPr>
            <w:tcW w:w="1843" w:type="dxa"/>
            <w:vMerge w:val="restart"/>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5.1 Adopt and progressively implement the Accessible Environment Plan</w:t>
            </w:r>
          </w:p>
        </w:tc>
        <w:tc>
          <w:tcPr>
            <w:tcW w:w="3260"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Provision of accessible paths of travel and equitable services and facilities.</w:t>
            </w:r>
          </w:p>
        </w:tc>
        <w:tc>
          <w:tcPr>
            <w:tcW w:w="3119" w:type="dxa"/>
            <w:tcBorders>
              <w:bottom w:val="single" w:sz="4" w:space="0" w:color="auto"/>
            </w:tcBorders>
            <w:tcMar>
              <w:left w:w="108" w:type="dxa"/>
              <w:right w:w="108" w:type="dxa"/>
            </w:tcMar>
          </w:tcPr>
          <w:p w:rsidR="00F52D62" w:rsidRDefault="00F52D62"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 xml:space="preserve">Disability Action Plan Consultative Committee, </w:t>
            </w:r>
            <w:r w:rsidRPr="00987C7F">
              <w:rPr>
                <w:rFonts w:ascii="Arial" w:hAnsi="Arial"/>
                <w:color w:val="auto"/>
                <w:sz w:val="20"/>
                <w:szCs w:val="20"/>
              </w:rPr>
              <w:t>Director, Campus Infrastructure and Services</w:t>
            </w:r>
            <w:r w:rsidRPr="00987C7F">
              <w:rPr>
                <w:rFonts w:ascii="Arial" w:eastAsia="Arial Narrow" w:hAnsi="Arial" w:cs="Arial Narrow"/>
                <w:color w:val="auto"/>
                <w:sz w:val="20"/>
                <w:szCs w:val="20"/>
              </w:rPr>
              <w:t xml:space="preserve"> and faculty/unit managers</w:t>
            </w:r>
          </w:p>
          <w:p w:rsidR="00DB76D8" w:rsidRPr="00987C7F" w:rsidRDefault="00DB76D8" w:rsidP="00165722">
            <w:pPr>
              <w:pStyle w:val="Normal1"/>
              <w:rPr>
                <w:rFonts w:ascii="Arial" w:hAnsi="Arial"/>
                <w:color w:val="auto"/>
                <w:sz w:val="20"/>
                <w:szCs w:val="20"/>
              </w:rPr>
            </w:pPr>
          </w:p>
        </w:tc>
        <w:tc>
          <w:tcPr>
            <w:tcW w:w="1559" w:type="dxa"/>
            <w:tcBorders>
              <w:bottom w:val="single" w:sz="4" w:space="0" w:color="auto"/>
            </w:tcBorders>
            <w:tcMar>
              <w:left w:w="108" w:type="dxa"/>
              <w:right w:w="108" w:type="dxa"/>
            </w:tcMar>
          </w:tcPr>
          <w:p w:rsidR="00F52D62" w:rsidRPr="00987C7F" w:rsidRDefault="00F52D62" w:rsidP="00CC3727">
            <w:pPr>
              <w:pStyle w:val="Normal1"/>
              <w:rPr>
                <w:rFonts w:ascii="Arial" w:hAnsi="Arial"/>
                <w:color w:val="auto"/>
                <w:sz w:val="20"/>
                <w:szCs w:val="20"/>
              </w:rPr>
            </w:pPr>
            <w:r w:rsidRPr="00987C7F">
              <w:rPr>
                <w:rFonts w:ascii="Arial" w:eastAsia="Arial Narrow" w:hAnsi="Arial" w:cs="Arial Narrow"/>
                <w:color w:val="auto"/>
                <w:sz w:val="20"/>
                <w:szCs w:val="20"/>
              </w:rPr>
              <w:t>2012 to 2020</w:t>
            </w:r>
          </w:p>
        </w:tc>
      </w:tr>
      <w:tr w:rsidR="006C36AF" w:rsidRPr="00987C7F" w:rsidTr="006C36AF">
        <w:trPr>
          <w:trHeight w:val="277"/>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Provision of accessible public transport to University campus areas.</w:t>
            </w:r>
          </w:p>
          <w:p w:rsidR="00F52D62" w:rsidRPr="00987C7F" w:rsidRDefault="00F52D62" w:rsidP="00165722">
            <w:pPr>
              <w:pStyle w:val="Normal1"/>
              <w:rPr>
                <w:rFonts w:ascii="Arial" w:eastAsia="Arial Narrow" w:hAnsi="Arial" w:cs="Arial Narrow"/>
                <w:color w:val="auto"/>
                <w:sz w:val="20"/>
                <w:szCs w:val="20"/>
              </w:rPr>
            </w:pPr>
          </w:p>
        </w:tc>
        <w:tc>
          <w:tcPr>
            <w:tcW w:w="311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Vice-Chancellor, Disability Action Plan Consultative Committee, Director, Campus Infrastructure and Services, Director, Human Resources and</w:t>
            </w:r>
          </w:p>
          <w:p w:rsidR="00F52D62" w:rsidRDefault="002429D6" w:rsidP="00165722">
            <w:pPr>
              <w:pStyle w:val="Normal1"/>
              <w:rPr>
                <w:rFonts w:ascii="Arial" w:eastAsia="Arial Narrow" w:hAnsi="Arial" w:cs="Arial Narrow"/>
                <w:color w:val="auto"/>
                <w:sz w:val="20"/>
                <w:szCs w:val="20"/>
              </w:rPr>
            </w:pPr>
            <w:r>
              <w:rPr>
                <w:rFonts w:ascii="Arial" w:eastAsia="Arial Narrow" w:hAnsi="Arial" w:cs="Arial Narrow"/>
                <w:color w:val="auto"/>
                <w:sz w:val="20"/>
                <w:szCs w:val="20"/>
              </w:rPr>
              <w:t>local</w:t>
            </w:r>
            <w:r w:rsidR="00F52D62" w:rsidRPr="00987C7F">
              <w:rPr>
                <w:rFonts w:ascii="Arial" w:eastAsia="Arial Narrow" w:hAnsi="Arial" w:cs="Arial Narrow"/>
                <w:color w:val="auto"/>
                <w:sz w:val="20"/>
                <w:szCs w:val="20"/>
              </w:rPr>
              <w:t xml:space="preserve"> and state government</w:t>
            </w:r>
          </w:p>
          <w:p w:rsidR="00DB76D8" w:rsidRPr="00987C7F" w:rsidRDefault="00DB76D8" w:rsidP="00165722">
            <w:pPr>
              <w:pStyle w:val="Normal1"/>
              <w:rPr>
                <w:rFonts w:ascii="Arial" w:eastAsia="Arial Narrow" w:hAnsi="Arial" w:cs="Arial Narrow"/>
                <w:color w:val="auto"/>
                <w:sz w:val="20"/>
                <w:szCs w:val="20"/>
              </w:rPr>
            </w:pPr>
          </w:p>
        </w:tc>
        <w:tc>
          <w:tcPr>
            <w:tcW w:w="1559" w:type="dxa"/>
            <w:tcBorders>
              <w:top w:val="single" w:sz="4" w:space="0" w:color="auto"/>
            </w:tcBorders>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r w:rsidRPr="00987C7F">
              <w:rPr>
                <w:rFonts w:ascii="Arial" w:hAnsi="Arial"/>
                <w:color w:val="auto"/>
                <w:sz w:val="20"/>
                <w:szCs w:val="20"/>
              </w:rPr>
              <w:t>2015</w:t>
            </w:r>
          </w:p>
        </w:tc>
      </w:tr>
      <w:tr w:rsidR="006C36AF" w:rsidRPr="00987C7F" w:rsidTr="006C36AF">
        <w:trPr>
          <w:trHeight w:val="1527"/>
        </w:trPr>
        <w:tc>
          <w:tcPr>
            <w:tcW w:w="1843" w:type="dxa"/>
            <w:vMerge w:val="restart"/>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5.2 Provide accessible paths of travel, parking, teaching and support areas</w:t>
            </w:r>
          </w:p>
        </w:tc>
        <w:tc>
          <w:tcPr>
            <w:tcW w:w="3260"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Implement construction of all Accessible Environments Plan Priority 1 identified works within 10 years.</w:t>
            </w:r>
          </w:p>
          <w:p w:rsidR="00F52D62" w:rsidRPr="00987C7F" w:rsidRDefault="00F52D62" w:rsidP="00165722">
            <w:pPr>
              <w:pStyle w:val="Normal1"/>
              <w:rPr>
                <w:rFonts w:ascii="Arial" w:hAnsi="Arial"/>
                <w:color w:val="auto"/>
                <w:sz w:val="20"/>
                <w:szCs w:val="20"/>
              </w:rPr>
            </w:pPr>
          </w:p>
          <w:p w:rsidR="00F52D62" w:rsidRPr="00987C7F" w:rsidRDefault="00F52D62" w:rsidP="00165722">
            <w:pPr>
              <w:pStyle w:val="Normal1"/>
              <w:rPr>
                <w:rFonts w:ascii="Arial" w:hAnsi="Arial"/>
                <w:color w:val="auto"/>
                <w:sz w:val="20"/>
                <w:szCs w:val="20"/>
              </w:rPr>
            </w:pPr>
          </w:p>
        </w:tc>
        <w:tc>
          <w:tcPr>
            <w:tcW w:w="3119"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Disability Action Plan Consultative Committee, Director Campus Infrastructure and Services and faculty managers</w:t>
            </w:r>
          </w:p>
        </w:tc>
        <w:tc>
          <w:tcPr>
            <w:tcW w:w="1559" w:type="dxa"/>
            <w:tcBorders>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2013 15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2014 30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2015 45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2016 60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2017 75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2018 90 percent</w:t>
            </w:r>
          </w:p>
        </w:tc>
      </w:tr>
      <w:tr w:rsidR="006C36AF" w:rsidRPr="00987C7F" w:rsidTr="006C36AF">
        <w:trPr>
          <w:trHeight w:val="1954"/>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Tactile, Braille signage and numbers to all rooms installed.</w:t>
            </w:r>
          </w:p>
        </w:tc>
        <w:tc>
          <w:tcPr>
            <w:tcW w:w="311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Disability Action Plan Consultative Committee, Director, Campus Infrastructure and Services and faculty managers.</w:t>
            </w:r>
          </w:p>
        </w:tc>
        <w:tc>
          <w:tcPr>
            <w:tcW w:w="1559" w:type="dxa"/>
            <w:tcBorders>
              <w:top w:val="single" w:sz="4" w:space="0" w:color="auto"/>
              <w:bottom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2013 15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2014 30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2015 45 percent</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2016 60 percent</w:t>
            </w:r>
          </w:p>
          <w:p w:rsidR="00F52D62" w:rsidRDefault="00F52D62" w:rsidP="00165722">
            <w:pPr>
              <w:pStyle w:val="Normal1"/>
              <w:rPr>
                <w:rFonts w:ascii="Arial" w:hAnsi="Arial"/>
                <w:color w:val="auto"/>
                <w:sz w:val="20"/>
                <w:szCs w:val="20"/>
              </w:rPr>
            </w:pPr>
            <w:r w:rsidRPr="00987C7F">
              <w:rPr>
                <w:rFonts w:ascii="Arial" w:hAnsi="Arial"/>
                <w:color w:val="auto"/>
                <w:sz w:val="20"/>
                <w:szCs w:val="20"/>
              </w:rPr>
              <w:t>2017 75 percent</w:t>
            </w:r>
          </w:p>
          <w:p w:rsidR="00DB76D8" w:rsidRPr="00987C7F" w:rsidRDefault="00F52D62" w:rsidP="00165722">
            <w:pPr>
              <w:pStyle w:val="Normal1"/>
              <w:rPr>
                <w:rFonts w:ascii="Arial" w:hAnsi="Arial"/>
                <w:color w:val="auto"/>
                <w:sz w:val="20"/>
                <w:szCs w:val="20"/>
              </w:rPr>
            </w:pPr>
            <w:r w:rsidRPr="00987C7F">
              <w:rPr>
                <w:rFonts w:ascii="Arial" w:hAnsi="Arial"/>
                <w:color w:val="auto"/>
                <w:sz w:val="20"/>
                <w:szCs w:val="20"/>
              </w:rPr>
              <w:t>2018 90 percent</w:t>
            </w:r>
          </w:p>
        </w:tc>
      </w:tr>
      <w:tr w:rsidR="006C36AF" w:rsidRPr="00987C7F" w:rsidTr="00DB76D8">
        <w:trPr>
          <w:trHeight w:val="1125"/>
        </w:trPr>
        <w:tc>
          <w:tcPr>
            <w:tcW w:w="1843" w:type="dxa"/>
            <w:vMerge/>
            <w:tcMar>
              <w:left w:w="108" w:type="dxa"/>
              <w:right w:w="108" w:type="dxa"/>
            </w:tcMar>
          </w:tcPr>
          <w:p w:rsidR="00F52D62" w:rsidRPr="00987C7F" w:rsidRDefault="00F52D62" w:rsidP="00165722">
            <w:pPr>
              <w:pStyle w:val="Normal1"/>
              <w:rPr>
                <w:rFonts w:ascii="Arial" w:eastAsia="Arial Narrow" w:hAnsi="Arial" w:cs="Arial Narrow"/>
                <w:color w:val="auto"/>
                <w:sz w:val="20"/>
                <w:szCs w:val="20"/>
              </w:rPr>
            </w:pPr>
          </w:p>
        </w:tc>
        <w:tc>
          <w:tcPr>
            <w:tcW w:w="3260"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eastAsia="Arial Narrow" w:hAnsi="Arial" w:cs="Arial Narrow"/>
                <w:color w:val="auto"/>
                <w:sz w:val="20"/>
                <w:szCs w:val="20"/>
              </w:rPr>
              <w:t xml:space="preserve">All new construction works including refurbishments comply with current best practice standards*. </w:t>
            </w:r>
          </w:p>
        </w:tc>
        <w:tc>
          <w:tcPr>
            <w:tcW w:w="311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 xml:space="preserve">Disability Action Plan Consultative Committee, Director </w:t>
            </w:r>
            <w:r w:rsidR="002429D6">
              <w:rPr>
                <w:rFonts w:ascii="Arial" w:hAnsi="Arial"/>
                <w:color w:val="auto"/>
                <w:sz w:val="20"/>
                <w:szCs w:val="20"/>
              </w:rPr>
              <w:t>Campus Infrastructure Services and</w:t>
            </w:r>
            <w:r w:rsidR="00596AD3">
              <w:rPr>
                <w:rFonts w:ascii="Arial" w:hAnsi="Arial"/>
                <w:color w:val="auto"/>
                <w:sz w:val="20"/>
                <w:szCs w:val="20"/>
              </w:rPr>
              <w:t xml:space="preserve"> faculty m</w:t>
            </w:r>
            <w:r w:rsidRPr="00987C7F">
              <w:rPr>
                <w:rFonts w:ascii="Arial" w:hAnsi="Arial"/>
                <w:color w:val="auto"/>
                <w:sz w:val="20"/>
                <w:szCs w:val="20"/>
              </w:rPr>
              <w:t>anagers.</w:t>
            </w:r>
          </w:p>
        </w:tc>
        <w:tc>
          <w:tcPr>
            <w:tcW w:w="1559" w:type="dxa"/>
            <w:tcBorders>
              <w:top w:val="single" w:sz="4" w:space="0" w:color="auto"/>
            </w:tcBorders>
            <w:tcMar>
              <w:left w:w="108" w:type="dxa"/>
              <w:right w:w="108" w:type="dxa"/>
            </w:tcMar>
          </w:tcPr>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100 percent compliance</w:t>
            </w:r>
          </w:p>
          <w:p w:rsidR="00F52D62" w:rsidRPr="00987C7F" w:rsidRDefault="00F52D62" w:rsidP="00165722">
            <w:pPr>
              <w:pStyle w:val="Normal1"/>
              <w:rPr>
                <w:rFonts w:ascii="Arial" w:hAnsi="Arial"/>
                <w:color w:val="auto"/>
                <w:sz w:val="20"/>
                <w:szCs w:val="20"/>
              </w:rPr>
            </w:pPr>
            <w:r w:rsidRPr="00987C7F">
              <w:rPr>
                <w:rFonts w:ascii="Arial" w:hAnsi="Arial"/>
                <w:color w:val="auto"/>
                <w:sz w:val="20"/>
                <w:szCs w:val="20"/>
              </w:rPr>
              <w:t>monitor annually</w:t>
            </w:r>
          </w:p>
        </w:tc>
      </w:tr>
    </w:tbl>
    <w:p w:rsidR="004E346C" w:rsidRDefault="004E346C" w:rsidP="00F15624">
      <w:pPr>
        <w:rPr>
          <w:rFonts w:eastAsia="Arial Narrow" w:cs="Arial Narrow"/>
          <w:b/>
          <w:szCs w:val="20"/>
        </w:rPr>
      </w:pPr>
    </w:p>
    <w:p w:rsidR="00165722" w:rsidRPr="00987C7F" w:rsidRDefault="004E346C" w:rsidP="00E1390B">
      <w:pPr>
        <w:pStyle w:val="Heading3"/>
        <w:rPr>
          <w:lang w:val="en-US" w:eastAsia="ja-JP"/>
        </w:rPr>
      </w:pPr>
      <w:r>
        <w:br w:type="page"/>
      </w:r>
      <w:bookmarkStart w:id="32" w:name="_Toc357508229"/>
      <w:r w:rsidR="00E1390B">
        <w:lastRenderedPageBreak/>
        <w:t xml:space="preserve">Objective 6: </w:t>
      </w:r>
      <w:r w:rsidR="00165722" w:rsidRPr="00987C7F">
        <w:t>The University provides leadership to the community in developing an inclusive Australian society.</w:t>
      </w:r>
      <w:bookmarkEnd w:id="32"/>
      <w:r w:rsidR="00165722" w:rsidRPr="00987C7F">
        <w:t xml:space="preserve"> </w:t>
      </w:r>
    </w:p>
    <w:p w:rsidR="00165722" w:rsidRPr="00987C7F" w:rsidRDefault="00165722" w:rsidP="00165722">
      <w:pPr>
        <w:pStyle w:val="Normal1"/>
        <w:rPr>
          <w:rFonts w:ascii="Arial" w:hAnsi="Arial"/>
          <w:color w:val="auto"/>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43"/>
        <w:gridCol w:w="3260"/>
        <w:gridCol w:w="3119"/>
        <w:gridCol w:w="1559"/>
      </w:tblGrid>
      <w:tr w:rsidR="006C36AF" w:rsidRPr="00987C7F" w:rsidTr="004E346C">
        <w:trPr>
          <w:trHeight w:val="298"/>
        </w:trPr>
        <w:tc>
          <w:tcPr>
            <w:tcW w:w="1843"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eastAsia="Arial Narrow" w:hAnsi="Arial" w:cs="Arial Narrow"/>
                <w:b/>
                <w:color w:val="auto"/>
                <w:sz w:val="20"/>
                <w:szCs w:val="20"/>
              </w:rPr>
              <w:t>Strategy</w:t>
            </w:r>
          </w:p>
        </w:tc>
        <w:tc>
          <w:tcPr>
            <w:tcW w:w="3260"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eastAsia="Arial Narrow" w:hAnsi="Arial" w:cs="Arial Narrow"/>
                <w:b/>
                <w:color w:val="auto"/>
                <w:sz w:val="20"/>
                <w:szCs w:val="20"/>
              </w:rPr>
              <w:t>Outcome</w:t>
            </w:r>
          </w:p>
        </w:tc>
        <w:tc>
          <w:tcPr>
            <w:tcW w:w="3119"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eastAsia="Arial Narrow" w:hAnsi="Arial" w:cs="Arial Narrow"/>
                <w:b/>
                <w:color w:val="auto"/>
                <w:sz w:val="20"/>
                <w:szCs w:val="20"/>
              </w:rPr>
              <w:t>Key Responsibilities</w:t>
            </w:r>
          </w:p>
        </w:tc>
        <w:tc>
          <w:tcPr>
            <w:tcW w:w="1559"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eastAsia="Arial Narrow" w:hAnsi="Arial" w:cs="Arial Narrow"/>
                <w:b/>
                <w:color w:val="auto"/>
                <w:sz w:val="20"/>
                <w:szCs w:val="20"/>
              </w:rPr>
              <w:t>Target Date</w:t>
            </w:r>
          </w:p>
        </w:tc>
      </w:tr>
      <w:tr w:rsidR="006C36AF" w:rsidRPr="00987C7F" w:rsidTr="004E346C">
        <w:trPr>
          <w:trHeight w:val="1342"/>
        </w:trPr>
        <w:tc>
          <w:tcPr>
            <w:tcW w:w="1843" w:type="dxa"/>
            <w:vMerge w:val="restart"/>
            <w:tcMar>
              <w:left w:w="108" w:type="dxa"/>
              <w:right w:w="108" w:type="dxa"/>
            </w:tcMar>
          </w:tcPr>
          <w:p w:rsidR="006C36AF" w:rsidRPr="00987C7F" w:rsidRDefault="006C36AF"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6.1 The University becomes a leader in disability</w:t>
            </w:r>
          </w:p>
        </w:tc>
        <w:tc>
          <w:tcPr>
            <w:tcW w:w="3260" w:type="dxa"/>
            <w:tcBorders>
              <w:bottom w:val="single" w:sz="4" w:space="0" w:color="auto"/>
            </w:tcBorders>
            <w:tcMar>
              <w:left w:w="108" w:type="dxa"/>
              <w:right w:w="108" w:type="dxa"/>
            </w:tcMar>
          </w:tcPr>
          <w:p w:rsidR="006C36AF" w:rsidRPr="00987C7F" w:rsidRDefault="006C36AF"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 xml:space="preserve">The University actively contributes to government and community initiatives relevant to people with disabilities. </w:t>
            </w:r>
          </w:p>
        </w:tc>
        <w:tc>
          <w:tcPr>
            <w:tcW w:w="3119" w:type="dxa"/>
            <w:tcBorders>
              <w:bottom w:val="single" w:sz="4" w:space="0" w:color="auto"/>
            </w:tcBorders>
            <w:tcMar>
              <w:left w:w="108" w:type="dxa"/>
              <w:right w:w="108" w:type="dxa"/>
            </w:tcMar>
          </w:tcPr>
          <w:p w:rsidR="006C36AF" w:rsidRDefault="006C36AF" w:rsidP="00165722">
            <w:pPr>
              <w:pStyle w:val="Normal1"/>
              <w:rPr>
                <w:rFonts w:ascii="Arial" w:hAnsi="Arial"/>
                <w:color w:val="auto"/>
                <w:sz w:val="20"/>
                <w:szCs w:val="20"/>
              </w:rPr>
            </w:pPr>
            <w:r w:rsidRPr="00987C7F">
              <w:rPr>
                <w:rFonts w:ascii="Arial" w:hAnsi="Arial"/>
                <w:color w:val="auto"/>
                <w:sz w:val="20"/>
                <w:szCs w:val="20"/>
              </w:rPr>
              <w:t>Senate, Senior Executive Group, Director, Staff and Student Equal Opportunity Unit, Director, Marketing and Communications, deans and heads of schools</w:t>
            </w:r>
          </w:p>
          <w:p w:rsidR="004E346C" w:rsidRPr="00987C7F" w:rsidRDefault="004E346C" w:rsidP="00165722">
            <w:pPr>
              <w:pStyle w:val="Normal1"/>
              <w:rPr>
                <w:rFonts w:ascii="Arial" w:hAnsi="Arial"/>
                <w:color w:val="auto"/>
                <w:sz w:val="20"/>
                <w:szCs w:val="20"/>
              </w:rPr>
            </w:pPr>
          </w:p>
        </w:tc>
        <w:tc>
          <w:tcPr>
            <w:tcW w:w="1559" w:type="dxa"/>
            <w:tcBorders>
              <w:bottom w:val="single" w:sz="4" w:space="0" w:color="auto"/>
            </w:tcBorders>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hAnsi="Arial"/>
                <w:color w:val="auto"/>
                <w:sz w:val="20"/>
                <w:szCs w:val="20"/>
              </w:rPr>
              <w:t>April 2013 and annual review</w:t>
            </w:r>
          </w:p>
        </w:tc>
      </w:tr>
      <w:tr w:rsidR="006C36AF" w:rsidRPr="00987C7F" w:rsidTr="008D237C">
        <w:trPr>
          <w:trHeight w:val="1167"/>
        </w:trPr>
        <w:tc>
          <w:tcPr>
            <w:tcW w:w="1843" w:type="dxa"/>
            <w:vMerge/>
            <w:tcMar>
              <w:left w:w="108" w:type="dxa"/>
              <w:right w:w="108" w:type="dxa"/>
            </w:tcMar>
          </w:tcPr>
          <w:p w:rsidR="006C36AF" w:rsidRPr="00987C7F" w:rsidRDefault="006C36AF" w:rsidP="00165722">
            <w:pPr>
              <w:pStyle w:val="Normal1"/>
              <w:rPr>
                <w:rFonts w:ascii="Arial" w:eastAsia="Arial Narrow" w:hAnsi="Arial" w:cs="Arial Narrow"/>
                <w:color w:val="auto"/>
                <w:sz w:val="20"/>
                <w:szCs w:val="20"/>
              </w:rPr>
            </w:pPr>
          </w:p>
        </w:tc>
        <w:tc>
          <w:tcPr>
            <w:tcW w:w="3260" w:type="dxa"/>
            <w:tcBorders>
              <w:bottom w:val="single" w:sz="4" w:space="0" w:color="auto"/>
            </w:tcBorders>
            <w:tcMar>
              <w:left w:w="108" w:type="dxa"/>
              <w:right w:w="108" w:type="dxa"/>
            </w:tcMar>
          </w:tcPr>
          <w:p w:rsidR="006C36AF" w:rsidRDefault="006C36AF"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Increase profiling and promotion of the University’s initiatives in research in disability and health. Increase opportunities for partnerships.</w:t>
            </w:r>
          </w:p>
          <w:p w:rsidR="00DB76D8" w:rsidRPr="00987C7F" w:rsidRDefault="00DB76D8" w:rsidP="00165722">
            <w:pPr>
              <w:pStyle w:val="Normal1"/>
              <w:rPr>
                <w:rFonts w:ascii="Arial" w:eastAsia="Arial Narrow" w:hAnsi="Arial" w:cs="Arial Narrow"/>
                <w:color w:val="auto"/>
                <w:sz w:val="20"/>
                <w:szCs w:val="20"/>
              </w:rPr>
            </w:pPr>
          </w:p>
        </w:tc>
        <w:tc>
          <w:tcPr>
            <w:tcW w:w="3119" w:type="dxa"/>
            <w:tcBorders>
              <w:bottom w:val="single" w:sz="4" w:space="0" w:color="auto"/>
            </w:tcBorders>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hAnsi="Arial"/>
                <w:color w:val="auto"/>
                <w:sz w:val="20"/>
                <w:szCs w:val="20"/>
              </w:rPr>
              <w:t>Senate, Senior Executive Group, Director, Marketing and Communications, deans and heads of schools</w:t>
            </w:r>
          </w:p>
        </w:tc>
        <w:tc>
          <w:tcPr>
            <w:tcW w:w="1559" w:type="dxa"/>
            <w:tcBorders>
              <w:bottom w:val="single" w:sz="4" w:space="0" w:color="auto"/>
            </w:tcBorders>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hAnsi="Arial"/>
                <w:color w:val="auto"/>
                <w:sz w:val="20"/>
                <w:szCs w:val="20"/>
              </w:rPr>
              <w:t>April 2013 and annual review</w:t>
            </w:r>
          </w:p>
        </w:tc>
      </w:tr>
      <w:tr w:rsidR="006C36AF" w:rsidRPr="00987C7F" w:rsidTr="006C36AF">
        <w:trPr>
          <w:trHeight w:val="1194"/>
        </w:trPr>
        <w:tc>
          <w:tcPr>
            <w:tcW w:w="1843" w:type="dxa"/>
            <w:vMerge/>
            <w:tcMar>
              <w:left w:w="108" w:type="dxa"/>
              <w:right w:w="108" w:type="dxa"/>
            </w:tcMar>
          </w:tcPr>
          <w:p w:rsidR="006C36AF" w:rsidRPr="00987C7F" w:rsidRDefault="006C36AF" w:rsidP="00165722">
            <w:pPr>
              <w:pStyle w:val="Normal1"/>
              <w:rPr>
                <w:rFonts w:ascii="Arial" w:eastAsia="Arial Narrow" w:hAnsi="Arial" w:cs="Arial Narrow"/>
                <w:color w:val="auto"/>
                <w:sz w:val="20"/>
                <w:szCs w:val="20"/>
              </w:rPr>
            </w:pPr>
          </w:p>
        </w:tc>
        <w:tc>
          <w:tcPr>
            <w:tcW w:w="3260" w:type="dxa"/>
            <w:tcBorders>
              <w:bottom w:val="single" w:sz="4" w:space="0" w:color="auto"/>
            </w:tcBorders>
            <w:tcMar>
              <w:left w:w="108" w:type="dxa"/>
              <w:right w:w="108" w:type="dxa"/>
            </w:tcMar>
          </w:tcPr>
          <w:p w:rsidR="006C36AF" w:rsidRDefault="006C36AF" w:rsidP="00165722">
            <w:pPr>
              <w:pStyle w:val="Normal1"/>
              <w:rPr>
                <w:rFonts w:ascii="Arial" w:eastAsia="Arial Narrow" w:hAnsi="Arial" w:cs="Arial Narrow"/>
                <w:color w:val="auto"/>
                <w:sz w:val="20"/>
                <w:szCs w:val="20"/>
                <w:lang w:val="en-AU"/>
              </w:rPr>
            </w:pPr>
            <w:r w:rsidRPr="00987C7F">
              <w:rPr>
                <w:rFonts w:ascii="Arial" w:eastAsia="Arial Narrow" w:hAnsi="Arial" w:cs="Arial Narrow"/>
                <w:color w:val="auto"/>
                <w:sz w:val="20"/>
                <w:szCs w:val="20"/>
                <w:lang w:val="en-AU"/>
              </w:rPr>
              <w:t>Develop </w:t>
            </w:r>
            <w:r w:rsidR="001A6C05">
              <w:rPr>
                <w:rFonts w:ascii="Arial" w:eastAsia="Arial Narrow" w:hAnsi="Arial" w:cs="Arial Narrow"/>
                <w:color w:val="auto"/>
                <w:sz w:val="20"/>
                <w:szCs w:val="20"/>
                <w:lang w:val="en-AU"/>
              </w:rPr>
              <w:t>a procurement process</w:t>
            </w:r>
            <w:r w:rsidRPr="00987C7F">
              <w:rPr>
                <w:rFonts w:ascii="Arial" w:eastAsia="Arial Narrow" w:hAnsi="Arial" w:cs="Arial Narrow"/>
                <w:color w:val="auto"/>
                <w:sz w:val="20"/>
                <w:szCs w:val="20"/>
                <w:lang w:val="en-AU"/>
              </w:rPr>
              <w:t xml:space="preserve"> which ensures the University engages organisations that actively and ambitiously support people with disabilities.</w:t>
            </w:r>
          </w:p>
          <w:p w:rsidR="00DB76D8" w:rsidRPr="00987C7F" w:rsidRDefault="00DB76D8" w:rsidP="00165722">
            <w:pPr>
              <w:pStyle w:val="Normal1"/>
              <w:rPr>
                <w:rFonts w:ascii="Arial" w:eastAsia="Arial Narrow" w:hAnsi="Arial" w:cs="Arial Narrow"/>
                <w:color w:val="auto"/>
                <w:sz w:val="20"/>
                <w:szCs w:val="20"/>
              </w:rPr>
            </w:pPr>
          </w:p>
        </w:tc>
        <w:tc>
          <w:tcPr>
            <w:tcW w:w="3119" w:type="dxa"/>
            <w:tcBorders>
              <w:bottom w:val="single" w:sz="4" w:space="0" w:color="auto"/>
            </w:tcBorders>
            <w:tcMar>
              <w:left w:w="108" w:type="dxa"/>
              <w:right w:w="108" w:type="dxa"/>
            </w:tcMar>
          </w:tcPr>
          <w:p w:rsidR="006C36AF" w:rsidRPr="00987C7F" w:rsidRDefault="006C36AF" w:rsidP="00165722">
            <w:pPr>
              <w:pStyle w:val="Normal1"/>
              <w:rPr>
                <w:rFonts w:ascii="Arial" w:hAnsi="Arial"/>
                <w:color w:val="auto"/>
                <w:sz w:val="20"/>
                <w:szCs w:val="20"/>
                <w:lang w:val="en-AU"/>
              </w:rPr>
            </w:pPr>
            <w:r w:rsidRPr="00987C7F">
              <w:rPr>
                <w:rFonts w:ascii="Arial" w:hAnsi="Arial"/>
                <w:color w:val="auto"/>
                <w:sz w:val="20"/>
                <w:szCs w:val="20"/>
                <w:lang w:val="en-AU"/>
              </w:rPr>
              <w:t>Chief Procurement Officer, directors, deans and heads of schools</w:t>
            </w:r>
          </w:p>
          <w:p w:rsidR="006C36AF" w:rsidRPr="00987C7F" w:rsidRDefault="006C36AF" w:rsidP="00165722">
            <w:pPr>
              <w:pStyle w:val="Normal1"/>
              <w:rPr>
                <w:rFonts w:ascii="Arial" w:hAnsi="Arial"/>
                <w:color w:val="auto"/>
                <w:sz w:val="20"/>
                <w:szCs w:val="20"/>
              </w:rPr>
            </w:pPr>
          </w:p>
        </w:tc>
        <w:tc>
          <w:tcPr>
            <w:tcW w:w="1559" w:type="dxa"/>
            <w:tcBorders>
              <w:bottom w:val="single" w:sz="4" w:space="0" w:color="auto"/>
            </w:tcBorders>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hAnsi="Arial"/>
                <w:color w:val="auto"/>
                <w:sz w:val="20"/>
                <w:szCs w:val="20"/>
              </w:rPr>
              <w:t>December 2013</w:t>
            </w:r>
          </w:p>
        </w:tc>
      </w:tr>
      <w:tr w:rsidR="006C36AF" w:rsidRPr="00987C7F" w:rsidTr="006C36AF">
        <w:trPr>
          <w:trHeight w:val="1374"/>
        </w:trPr>
        <w:tc>
          <w:tcPr>
            <w:tcW w:w="1843"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eastAsia="Arial Narrow" w:hAnsi="Arial" w:cs="Arial Narrow"/>
                <w:color w:val="auto"/>
                <w:sz w:val="20"/>
                <w:szCs w:val="20"/>
              </w:rPr>
              <w:t xml:space="preserve">6.2 Develop a program of events to </w:t>
            </w:r>
            <w:proofErr w:type="spellStart"/>
            <w:r w:rsidRPr="00987C7F">
              <w:rPr>
                <w:rFonts w:ascii="Arial" w:eastAsia="Arial Narrow" w:hAnsi="Arial" w:cs="Arial Narrow"/>
                <w:color w:val="auto"/>
                <w:sz w:val="20"/>
                <w:szCs w:val="20"/>
              </w:rPr>
              <w:t>recognise</w:t>
            </w:r>
            <w:proofErr w:type="spellEnd"/>
            <w:r w:rsidRPr="00987C7F">
              <w:rPr>
                <w:rFonts w:ascii="Arial" w:eastAsia="Arial Narrow" w:hAnsi="Arial" w:cs="Arial Narrow"/>
                <w:color w:val="auto"/>
                <w:sz w:val="20"/>
                <w:szCs w:val="20"/>
              </w:rPr>
              <w:t xml:space="preserve"> and celebrate disability</w:t>
            </w:r>
            <w:r w:rsidRPr="00987C7F">
              <w:rPr>
                <w:rFonts w:ascii="Arial" w:eastAsia="Arial Narrow" w:hAnsi="Arial" w:cs="Arial Narrow"/>
                <w:color w:val="auto"/>
                <w:sz w:val="20"/>
                <w:szCs w:val="20"/>
              </w:rPr>
              <w:br/>
            </w:r>
          </w:p>
        </w:tc>
        <w:tc>
          <w:tcPr>
            <w:tcW w:w="3260" w:type="dxa"/>
            <w:tcBorders>
              <w:bottom w:val="single" w:sz="4" w:space="0" w:color="auto"/>
            </w:tcBorders>
            <w:tcMar>
              <w:left w:w="108" w:type="dxa"/>
              <w:right w:w="108" w:type="dxa"/>
            </w:tcMar>
          </w:tcPr>
          <w:p w:rsidR="006C36AF" w:rsidRDefault="006C36AF" w:rsidP="00165722">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University event</w:t>
            </w:r>
            <w:r w:rsidR="001A6C05">
              <w:rPr>
                <w:rFonts w:ascii="Arial" w:eastAsia="Arial Narrow" w:hAnsi="Arial" w:cs="Arial Narrow"/>
                <w:color w:val="auto"/>
                <w:sz w:val="20"/>
                <w:szCs w:val="20"/>
              </w:rPr>
              <w:t>s will</w:t>
            </w:r>
            <w:r w:rsidRPr="00987C7F">
              <w:rPr>
                <w:rFonts w:ascii="Arial" w:eastAsia="Arial Narrow" w:hAnsi="Arial" w:cs="Arial Narrow"/>
                <w:color w:val="auto"/>
                <w:sz w:val="20"/>
                <w:szCs w:val="20"/>
              </w:rPr>
              <w:t xml:space="preserve"> include and empower people with disabilities to raise awareness and foster an inclusive campus. Accessible event checklist developed and made available online for all staff and students.</w:t>
            </w:r>
          </w:p>
          <w:p w:rsidR="00DB76D8" w:rsidRPr="00987C7F" w:rsidRDefault="00DB76D8" w:rsidP="00165722">
            <w:pPr>
              <w:pStyle w:val="Normal1"/>
              <w:rPr>
                <w:rFonts w:ascii="Arial" w:hAnsi="Arial"/>
                <w:color w:val="auto"/>
                <w:sz w:val="20"/>
                <w:szCs w:val="20"/>
              </w:rPr>
            </w:pPr>
          </w:p>
        </w:tc>
        <w:tc>
          <w:tcPr>
            <w:tcW w:w="3119" w:type="dxa"/>
            <w:tcBorders>
              <w:bottom w:val="single" w:sz="4" w:space="0" w:color="auto"/>
            </w:tcBorders>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hAnsi="Arial"/>
                <w:color w:val="auto"/>
                <w:sz w:val="20"/>
                <w:szCs w:val="20"/>
              </w:rPr>
              <w:t>Senior Executive Group, Manager, Disability Services, Director, Staff and Student Equal Opportunity Unit, Director, Marketing and Communications</w:t>
            </w:r>
          </w:p>
        </w:tc>
        <w:tc>
          <w:tcPr>
            <w:tcW w:w="1559" w:type="dxa"/>
            <w:tcBorders>
              <w:bottom w:val="single" w:sz="4" w:space="0" w:color="auto"/>
            </w:tcBorders>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hAnsi="Arial"/>
                <w:color w:val="auto"/>
                <w:sz w:val="20"/>
                <w:szCs w:val="20"/>
              </w:rPr>
              <w:t xml:space="preserve">July 2013 </w:t>
            </w:r>
          </w:p>
        </w:tc>
      </w:tr>
      <w:tr w:rsidR="006C36AF" w:rsidRPr="00987C7F" w:rsidTr="00DB76D8">
        <w:trPr>
          <w:trHeight w:val="1364"/>
        </w:trPr>
        <w:tc>
          <w:tcPr>
            <w:tcW w:w="1843"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eastAsia="Arial Narrow" w:hAnsi="Arial" w:cs="Arial Narrow"/>
                <w:color w:val="auto"/>
                <w:sz w:val="20"/>
                <w:szCs w:val="20"/>
              </w:rPr>
              <w:t>6.3 Develop an accessible faculty award</w:t>
            </w:r>
          </w:p>
        </w:tc>
        <w:tc>
          <w:tcPr>
            <w:tcW w:w="3260" w:type="dxa"/>
            <w:tcMar>
              <w:left w:w="108" w:type="dxa"/>
              <w:right w:w="108" w:type="dxa"/>
            </w:tcMar>
          </w:tcPr>
          <w:p w:rsidR="006C36AF" w:rsidRDefault="006C36AF" w:rsidP="001A6C05">
            <w:pPr>
              <w:pStyle w:val="Normal1"/>
              <w:rPr>
                <w:rFonts w:ascii="Arial" w:eastAsia="Arial Narrow" w:hAnsi="Arial" w:cs="Arial Narrow"/>
                <w:color w:val="auto"/>
                <w:sz w:val="20"/>
                <w:szCs w:val="20"/>
              </w:rPr>
            </w:pPr>
            <w:r w:rsidRPr="00987C7F">
              <w:rPr>
                <w:rFonts w:ascii="Arial" w:eastAsia="Arial Narrow" w:hAnsi="Arial" w:cs="Arial Narrow"/>
                <w:color w:val="auto"/>
                <w:sz w:val="20"/>
                <w:szCs w:val="20"/>
              </w:rPr>
              <w:t xml:space="preserve">The Accessible Faculty Award is established </w:t>
            </w:r>
            <w:r w:rsidR="001A6C05">
              <w:rPr>
                <w:rFonts w:ascii="Arial" w:eastAsia="Arial Narrow" w:hAnsi="Arial" w:cs="Arial Narrow"/>
                <w:color w:val="auto"/>
                <w:sz w:val="20"/>
                <w:szCs w:val="20"/>
              </w:rPr>
              <w:t>and</w:t>
            </w:r>
            <w:r w:rsidRPr="00987C7F">
              <w:rPr>
                <w:rFonts w:ascii="Arial" w:eastAsia="Arial Narrow" w:hAnsi="Arial" w:cs="Arial Narrow"/>
                <w:color w:val="auto"/>
                <w:sz w:val="20"/>
                <w:szCs w:val="20"/>
              </w:rPr>
              <w:t xml:space="preserve"> will provide </w:t>
            </w:r>
            <w:r w:rsidR="001A6C05">
              <w:rPr>
                <w:rFonts w:ascii="Arial" w:eastAsia="Arial Narrow" w:hAnsi="Arial" w:cs="Arial Narrow"/>
                <w:color w:val="auto"/>
                <w:sz w:val="20"/>
                <w:szCs w:val="20"/>
              </w:rPr>
              <w:t xml:space="preserve">an </w:t>
            </w:r>
            <w:r w:rsidRPr="00987C7F">
              <w:rPr>
                <w:rFonts w:ascii="Arial" w:eastAsia="Arial Narrow" w:hAnsi="Arial" w:cs="Arial Narrow"/>
                <w:color w:val="auto"/>
                <w:sz w:val="20"/>
                <w:szCs w:val="20"/>
              </w:rPr>
              <w:t xml:space="preserve">incentive for faculties within the University to develop best practice inclusive learning and teaching environments. </w:t>
            </w:r>
          </w:p>
          <w:p w:rsidR="00DB76D8" w:rsidRPr="00987C7F" w:rsidRDefault="00DB76D8" w:rsidP="001A6C05">
            <w:pPr>
              <w:pStyle w:val="Normal1"/>
              <w:rPr>
                <w:rFonts w:ascii="Arial" w:hAnsi="Arial"/>
                <w:color w:val="auto"/>
                <w:sz w:val="20"/>
                <w:szCs w:val="20"/>
              </w:rPr>
            </w:pPr>
          </w:p>
        </w:tc>
        <w:tc>
          <w:tcPr>
            <w:tcW w:w="3119"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hAnsi="Arial"/>
                <w:color w:val="auto"/>
                <w:sz w:val="20"/>
                <w:szCs w:val="20"/>
              </w:rPr>
              <w:t xml:space="preserve">Manager, Disability Services, Director, Staff and Student Equal Opportunity Unit, Director, Institute for Teaching and Learning and Director, Marketing and Communications </w:t>
            </w:r>
          </w:p>
        </w:tc>
        <w:tc>
          <w:tcPr>
            <w:tcW w:w="1559" w:type="dxa"/>
            <w:tcMar>
              <w:left w:w="108" w:type="dxa"/>
              <w:right w:w="108" w:type="dxa"/>
            </w:tcMar>
          </w:tcPr>
          <w:p w:rsidR="006C36AF" w:rsidRPr="00987C7F" w:rsidRDefault="006C36AF" w:rsidP="00165722">
            <w:pPr>
              <w:pStyle w:val="Normal1"/>
              <w:rPr>
                <w:rFonts w:ascii="Arial" w:hAnsi="Arial"/>
                <w:color w:val="auto"/>
                <w:sz w:val="20"/>
                <w:szCs w:val="20"/>
              </w:rPr>
            </w:pPr>
            <w:r w:rsidRPr="00987C7F">
              <w:rPr>
                <w:rFonts w:ascii="Arial" w:eastAsia="Arial Narrow" w:hAnsi="Arial" w:cs="Arial Narrow"/>
                <w:color w:val="auto"/>
                <w:sz w:val="20"/>
                <w:szCs w:val="20"/>
              </w:rPr>
              <w:t>December 2013 and annually</w:t>
            </w:r>
          </w:p>
          <w:p w:rsidR="006C36AF" w:rsidRPr="00987C7F" w:rsidRDefault="006C36AF" w:rsidP="00165722">
            <w:pPr>
              <w:pStyle w:val="Normal1"/>
              <w:rPr>
                <w:rFonts w:ascii="Arial" w:hAnsi="Arial"/>
                <w:color w:val="auto"/>
                <w:sz w:val="20"/>
                <w:szCs w:val="20"/>
              </w:rPr>
            </w:pPr>
          </w:p>
        </w:tc>
      </w:tr>
    </w:tbl>
    <w:p w:rsidR="00165722" w:rsidRPr="00987C7F" w:rsidRDefault="00165722" w:rsidP="00165722">
      <w:pPr>
        <w:pStyle w:val="Normal1"/>
        <w:jc w:val="both"/>
        <w:rPr>
          <w:rFonts w:ascii="Arial" w:hAnsi="Arial"/>
          <w:color w:val="auto"/>
          <w:sz w:val="20"/>
          <w:szCs w:val="20"/>
        </w:rPr>
      </w:pPr>
    </w:p>
    <w:p w:rsidR="00165722" w:rsidRPr="00425DAB" w:rsidRDefault="00165722" w:rsidP="00425DAB">
      <w:pPr>
        <w:pStyle w:val="Normal1"/>
        <w:rPr>
          <w:rFonts w:ascii="Arial" w:hAnsi="Arial"/>
          <w:color w:val="auto"/>
          <w:sz w:val="20"/>
          <w:szCs w:val="20"/>
        </w:rPr>
      </w:pPr>
      <w:r w:rsidRPr="00987C7F">
        <w:rPr>
          <w:rFonts w:ascii="Arial" w:hAnsi="Arial"/>
          <w:color w:val="auto"/>
          <w:sz w:val="20"/>
          <w:szCs w:val="20"/>
        </w:rPr>
        <w:t xml:space="preserve">*for a detailed explanation of current best practice please refer to the definition of ‘best practice’ and ‘standards’ in the key terms listed in the </w:t>
      </w:r>
      <w:r w:rsidRPr="00987C7F">
        <w:rPr>
          <w:rFonts w:ascii="Arial" w:hAnsi="Arial"/>
          <w:i/>
          <w:color w:val="auto"/>
          <w:sz w:val="20"/>
          <w:szCs w:val="20"/>
        </w:rPr>
        <w:t>Appendix</w:t>
      </w:r>
      <w:r w:rsidRPr="00987C7F">
        <w:rPr>
          <w:rFonts w:ascii="Arial" w:hAnsi="Arial"/>
          <w:color w:val="auto"/>
          <w:sz w:val="20"/>
          <w:szCs w:val="20"/>
        </w:rPr>
        <w:t>.</w:t>
      </w:r>
    </w:p>
    <w:p w:rsidR="001E1217" w:rsidRDefault="001E1217">
      <w:pPr>
        <w:spacing w:before="0" w:after="0"/>
        <w:rPr>
          <w:rFonts w:cs="Arial"/>
          <w:b/>
          <w:caps/>
          <w:sz w:val="28"/>
          <w:szCs w:val="28"/>
        </w:rPr>
      </w:pPr>
      <w:r>
        <w:br w:type="page"/>
      </w:r>
    </w:p>
    <w:p w:rsidR="00165722" w:rsidRPr="00987C7F" w:rsidRDefault="00903AEC" w:rsidP="00E1390B">
      <w:pPr>
        <w:pStyle w:val="Heading1"/>
      </w:pPr>
      <w:bookmarkStart w:id="33" w:name="_Toc357508230"/>
      <w:r w:rsidRPr="00903AEC">
        <w:lastRenderedPageBreak/>
        <w:t>Summary of Total Costs</w:t>
      </w:r>
      <w:bookmarkEnd w:id="3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228"/>
        <w:gridCol w:w="1229"/>
        <w:gridCol w:w="1228"/>
        <w:gridCol w:w="1229"/>
        <w:gridCol w:w="1228"/>
        <w:gridCol w:w="1229"/>
      </w:tblGrid>
      <w:tr w:rsidR="008D237C" w:rsidRPr="004A5E1B" w:rsidTr="004A5E1B">
        <w:trPr>
          <w:trHeight w:val="460"/>
        </w:trPr>
        <w:tc>
          <w:tcPr>
            <w:tcW w:w="2410" w:type="dxa"/>
            <w:shd w:val="clear" w:color="auto" w:fill="auto"/>
            <w:hideMark/>
          </w:tcPr>
          <w:p w:rsidR="00903AEC" w:rsidRPr="001E1217" w:rsidRDefault="00903AEC" w:rsidP="00425DAB">
            <w:pPr>
              <w:rPr>
                <w:b/>
              </w:rPr>
            </w:pPr>
            <w:r w:rsidRPr="00425DAB">
              <w:rPr>
                <w:b/>
                <w:caps/>
              </w:rPr>
              <w:t> </w:t>
            </w:r>
            <w:r w:rsidRPr="00425DAB">
              <w:rPr>
                <w:b/>
              </w:rPr>
              <w:t>O</w:t>
            </w:r>
            <w:r w:rsidR="009C35FC" w:rsidRPr="00425DAB">
              <w:rPr>
                <w:b/>
              </w:rPr>
              <w:t>bjective</w:t>
            </w:r>
          </w:p>
        </w:tc>
        <w:tc>
          <w:tcPr>
            <w:tcW w:w="1228" w:type="dxa"/>
            <w:shd w:val="clear" w:color="auto" w:fill="auto"/>
            <w:hideMark/>
          </w:tcPr>
          <w:p w:rsidR="00903AEC" w:rsidRPr="00425DAB" w:rsidRDefault="00903AEC" w:rsidP="00425DAB">
            <w:pPr>
              <w:rPr>
                <w:b/>
              </w:rPr>
            </w:pPr>
            <w:r w:rsidRPr="00425DAB">
              <w:rPr>
                <w:b/>
              </w:rPr>
              <w:t>Year 1</w:t>
            </w:r>
          </w:p>
        </w:tc>
        <w:tc>
          <w:tcPr>
            <w:tcW w:w="1229" w:type="dxa"/>
            <w:shd w:val="clear" w:color="auto" w:fill="auto"/>
            <w:hideMark/>
          </w:tcPr>
          <w:p w:rsidR="00903AEC" w:rsidRPr="00425DAB" w:rsidRDefault="00903AEC" w:rsidP="00425DAB">
            <w:pPr>
              <w:rPr>
                <w:b/>
              </w:rPr>
            </w:pPr>
            <w:r w:rsidRPr="00425DAB">
              <w:rPr>
                <w:b/>
              </w:rPr>
              <w:t>Year 2</w:t>
            </w:r>
          </w:p>
        </w:tc>
        <w:tc>
          <w:tcPr>
            <w:tcW w:w="1228" w:type="dxa"/>
            <w:shd w:val="clear" w:color="auto" w:fill="auto"/>
            <w:hideMark/>
          </w:tcPr>
          <w:p w:rsidR="00903AEC" w:rsidRPr="00425DAB" w:rsidRDefault="00903AEC" w:rsidP="00425DAB">
            <w:pPr>
              <w:rPr>
                <w:b/>
              </w:rPr>
            </w:pPr>
            <w:r w:rsidRPr="00425DAB">
              <w:rPr>
                <w:b/>
              </w:rPr>
              <w:t>Year 3</w:t>
            </w:r>
          </w:p>
        </w:tc>
        <w:tc>
          <w:tcPr>
            <w:tcW w:w="1229" w:type="dxa"/>
            <w:shd w:val="clear" w:color="auto" w:fill="auto"/>
            <w:hideMark/>
          </w:tcPr>
          <w:p w:rsidR="00903AEC" w:rsidRPr="00425DAB" w:rsidRDefault="00903AEC" w:rsidP="00425DAB">
            <w:pPr>
              <w:rPr>
                <w:b/>
              </w:rPr>
            </w:pPr>
            <w:r w:rsidRPr="00425DAB">
              <w:rPr>
                <w:b/>
              </w:rPr>
              <w:t>Year 4</w:t>
            </w:r>
          </w:p>
        </w:tc>
        <w:tc>
          <w:tcPr>
            <w:tcW w:w="1228" w:type="dxa"/>
            <w:shd w:val="clear" w:color="auto" w:fill="auto"/>
            <w:hideMark/>
          </w:tcPr>
          <w:p w:rsidR="00903AEC" w:rsidRPr="00425DAB" w:rsidRDefault="00903AEC" w:rsidP="00425DAB">
            <w:pPr>
              <w:rPr>
                <w:b/>
              </w:rPr>
            </w:pPr>
            <w:r w:rsidRPr="00425DAB">
              <w:rPr>
                <w:b/>
              </w:rPr>
              <w:t>Year 5</w:t>
            </w:r>
          </w:p>
        </w:tc>
        <w:tc>
          <w:tcPr>
            <w:tcW w:w="1229" w:type="dxa"/>
            <w:shd w:val="clear" w:color="auto" w:fill="auto"/>
            <w:hideMark/>
          </w:tcPr>
          <w:p w:rsidR="00903AEC" w:rsidRPr="00425DAB" w:rsidRDefault="00903AEC" w:rsidP="00425DAB">
            <w:pPr>
              <w:rPr>
                <w:b/>
              </w:rPr>
            </w:pPr>
            <w:r w:rsidRPr="00425DAB">
              <w:rPr>
                <w:b/>
              </w:rPr>
              <w:t>Year 6</w:t>
            </w:r>
          </w:p>
        </w:tc>
      </w:tr>
      <w:tr w:rsidR="008D237C" w:rsidRPr="004A5E1B" w:rsidTr="004A5E1B">
        <w:trPr>
          <w:trHeight w:val="460"/>
        </w:trPr>
        <w:tc>
          <w:tcPr>
            <w:tcW w:w="2410" w:type="dxa"/>
            <w:shd w:val="clear" w:color="auto" w:fill="auto"/>
            <w:hideMark/>
          </w:tcPr>
          <w:p w:rsidR="00903AEC" w:rsidRPr="004A5E1B" w:rsidRDefault="00903AEC" w:rsidP="00425DAB">
            <w:pPr>
              <w:rPr>
                <w:caps/>
              </w:rPr>
            </w:pPr>
            <w:r w:rsidRPr="004A5E1B">
              <w:rPr>
                <w:caps/>
              </w:rPr>
              <w:t>1</w:t>
            </w:r>
          </w:p>
        </w:tc>
        <w:tc>
          <w:tcPr>
            <w:tcW w:w="1228" w:type="dxa"/>
            <w:shd w:val="clear" w:color="auto" w:fill="auto"/>
            <w:hideMark/>
          </w:tcPr>
          <w:p w:rsidR="00903AEC" w:rsidRPr="004A5E1B" w:rsidRDefault="00E1113B" w:rsidP="00425DAB">
            <w:pPr>
              <w:rPr>
                <w:caps/>
              </w:rPr>
            </w:pPr>
            <w:r>
              <w:rPr>
                <w:caps/>
              </w:rPr>
              <w:t>884,000</w:t>
            </w:r>
          </w:p>
        </w:tc>
        <w:tc>
          <w:tcPr>
            <w:tcW w:w="1229" w:type="dxa"/>
            <w:shd w:val="clear" w:color="auto" w:fill="auto"/>
            <w:hideMark/>
          </w:tcPr>
          <w:p w:rsidR="00903AEC" w:rsidRPr="004A5E1B" w:rsidRDefault="00E1113B" w:rsidP="00425DAB">
            <w:pPr>
              <w:rPr>
                <w:caps/>
              </w:rPr>
            </w:pPr>
            <w:r>
              <w:rPr>
                <w:caps/>
              </w:rPr>
              <w:t>900,000</w:t>
            </w:r>
          </w:p>
        </w:tc>
        <w:tc>
          <w:tcPr>
            <w:tcW w:w="1228" w:type="dxa"/>
            <w:shd w:val="clear" w:color="auto" w:fill="auto"/>
            <w:hideMark/>
          </w:tcPr>
          <w:p w:rsidR="00903AEC" w:rsidRPr="004A5E1B" w:rsidRDefault="00903AEC" w:rsidP="00425DAB">
            <w:pPr>
              <w:rPr>
                <w:caps/>
              </w:rPr>
            </w:pPr>
            <w:r w:rsidRPr="004A5E1B">
              <w:rPr>
                <w:caps/>
              </w:rPr>
              <w:t>927</w:t>
            </w:r>
            <w:r w:rsidR="00E1113B">
              <w:rPr>
                <w:caps/>
              </w:rPr>
              <w:t>,000</w:t>
            </w:r>
          </w:p>
        </w:tc>
        <w:tc>
          <w:tcPr>
            <w:tcW w:w="1229" w:type="dxa"/>
            <w:shd w:val="clear" w:color="auto" w:fill="auto"/>
            <w:hideMark/>
          </w:tcPr>
          <w:p w:rsidR="00903AEC" w:rsidRPr="004A5E1B" w:rsidRDefault="00903AEC" w:rsidP="00425DAB">
            <w:pPr>
              <w:rPr>
                <w:caps/>
              </w:rPr>
            </w:pPr>
            <w:r w:rsidRPr="004A5E1B">
              <w:rPr>
                <w:caps/>
              </w:rPr>
              <w:t>954</w:t>
            </w:r>
            <w:r w:rsidR="00E1113B">
              <w:rPr>
                <w:caps/>
              </w:rPr>
              <w:t>,000</w:t>
            </w:r>
          </w:p>
        </w:tc>
        <w:tc>
          <w:tcPr>
            <w:tcW w:w="1228" w:type="dxa"/>
            <w:shd w:val="clear" w:color="auto" w:fill="auto"/>
            <w:hideMark/>
          </w:tcPr>
          <w:p w:rsidR="00903AEC" w:rsidRPr="004A5E1B" w:rsidRDefault="00903AEC" w:rsidP="00425DAB">
            <w:pPr>
              <w:rPr>
                <w:caps/>
              </w:rPr>
            </w:pPr>
            <w:r w:rsidRPr="004A5E1B">
              <w:rPr>
                <w:caps/>
              </w:rPr>
              <w:t>983</w:t>
            </w:r>
            <w:r w:rsidR="00E1113B">
              <w:rPr>
                <w:caps/>
              </w:rPr>
              <w:t>,000</w:t>
            </w:r>
          </w:p>
        </w:tc>
        <w:tc>
          <w:tcPr>
            <w:tcW w:w="1229" w:type="dxa"/>
            <w:shd w:val="clear" w:color="auto" w:fill="auto"/>
            <w:hideMark/>
          </w:tcPr>
          <w:p w:rsidR="00903AEC" w:rsidRPr="004A5E1B" w:rsidRDefault="00903AEC" w:rsidP="00425DAB">
            <w:pPr>
              <w:rPr>
                <w:caps/>
              </w:rPr>
            </w:pPr>
            <w:r w:rsidRPr="004A5E1B">
              <w:rPr>
                <w:caps/>
              </w:rPr>
              <w:t>1.012 M</w:t>
            </w:r>
          </w:p>
        </w:tc>
      </w:tr>
      <w:tr w:rsidR="008D237C" w:rsidRPr="004A5E1B" w:rsidTr="004A5E1B">
        <w:trPr>
          <w:trHeight w:val="460"/>
        </w:trPr>
        <w:tc>
          <w:tcPr>
            <w:tcW w:w="2410" w:type="dxa"/>
            <w:shd w:val="clear" w:color="auto" w:fill="auto"/>
            <w:hideMark/>
          </w:tcPr>
          <w:p w:rsidR="00903AEC" w:rsidRPr="004A5E1B" w:rsidRDefault="00903AEC" w:rsidP="00425DAB">
            <w:pPr>
              <w:rPr>
                <w:caps/>
              </w:rPr>
            </w:pPr>
            <w:r w:rsidRPr="004A5E1B">
              <w:rPr>
                <w:caps/>
              </w:rPr>
              <w:t>2</w:t>
            </w:r>
          </w:p>
        </w:tc>
        <w:tc>
          <w:tcPr>
            <w:tcW w:w="1228" w:type="dxa"/>
            <w:shd w:val="clear" w:color="auto" w:fill="auto"/>
            <w:hideMark/>
          </w:tcPr>
          <w:p w:rsidR="00903AEC" w:rsidRPr="004A5E1B" w:rsidRDefault="00903AEC" w:rsidP="00425DAB">
            <w:pPr>
              <w:rPr>
                <w:caps/>
              </w:rPr>
            </w:pPr>
            <w:r w:rsidRPr="004A5E1B">
              <w:rPr>
                <w:caps/>
              </w:rPr>
              <w:t>277</w:t>
            </w:r>
            <w:r w:rsidR="00E1113B">
              <w:rPr>
                <w:caps/>
              </w:rPr>
              <w:t>,000</w:t>
            </w:r>
          </w:p>
        </w:tc>
        <w:tc>
          <w:tcPr>
            <w:tcW w:w="1229" w:type="dxa"/>
            <w:shd w:val="clear" w:color="auto" w:fill="auto"/>
            <w:hideMark/>
          </w:tcPr>
          <w:p w:rsidR="00903AEC" w:rsidRPr="004A5E1B" w:rsidRDefault="00903AEC" w:rsidP="00425DAB">
            <w:pPr>
              <w:rPr>
                <w:caps/>
              </w:rPr>
            </w:pPr>
            <w:r w:rsidRPr="004A5E1B">
              <w:rPr>
                <w:caps/>
              </w:rPr>
              <w:t>243</w:t>
            </w:r>
            <w:r w:rsidR="00E1113B">
              <w:rPr>
                <w:caps/>
              </w:rPr>
              <w:t>,000</w:t>
            </w:r>
          </w:p>
        </w:tc>
        <w:tc>
          <w:tcPr>
            <w:tcW w:w="1228" w:type="dxa"/>
            <w:shd w:val="clear" w:color="auto" w:fill="auto"/>
            <w:hideMark/>
          </w:tcPr>
          <w:p w:rsidR="00903AEC" w:rsidRPr="004A5E1B" w:rsidRDefault="00E1113B" w:rsidP="00425DAB">
            <w:pPr>
              <w:rPr>
                <w:caps/>
              </w:rPr>
            </w:pPr>
            <w:r>
              <w:rPr>
                <w:caps/>
              </w:rPr>
              <w:t>287,000</w:t>
            </w:r>
          </w:p>
        </w:tc>
        <w:tc>
          <w:tcPr>
            <w:tcW w:w="1229" w:type="dxa"/>
            <w:shd w:val="clear" w:color="auto" w:fill="auto"/>
            <w:hideMark/>
          </w:tcPr>
          <w:p w:rsidR="00903AEC" w:rsidRPr="004A5E1B" w:rsidRDefault="00903AEC" w:rsidP="00425DAB">
            <w:pPr>
              <w:rPr>
                <w:caps/>
              </w:rPr>
            </w:pPr>
            <w:r w:rsidRPr="004A5E1B">
              <w:rPr>
                <w:caps/>
              </w:rPr>
              <w:t>294</w:t>
            </w:r>
            <w:r w:rsidR="00E1113B">
              <w:rPr>
                <w:caps/>
              </w:rPr>
              <w:t>,000</w:t>
            </w:r>
          </w:p>
        </w:tc>
        <w:tc>
          <w:tcPr>
            <w:tcW w:w="1228" w:type="dxa"/>
            <w:shd w:val="clear" w:color="auto" w:fill="auto"/>
            <w:hideMark/>
          </w:tcPr>
          <w:p w:rsidR="00903AEC" w:rsidRPr="004A5E1B" w:rsidRDefault="00903AEC" w:rsidP="00425DAB">
            <w:pPr>
              <w:rPr>
                <w:caps/>
              </w:rPr>
            </w:pPr>
            <w:r w:rsidRPr="004A5E1B">
              <w:rPr>
                <w:caps/>
              </w:rPr>
              <w:t>343</w:t>
            </w:r>
            <w:r w:rsidR="00E1113B">
              <w:rPr>
                <w:caps/>
              </w:rPr>
              <w:t>,000</w:t>
            </w:r>
          </w:p>
        </w:tc>
        <w:tc>
          <w:tcPr>
            <w:tcW w:w="1229" w:type="dxa"/>
            <w:shd w:val="clear" w:color="auto" w:fill="auto"/>
            <w:hideMark/>
          </w:tcPr>
          <w:p w:rsidR="00903AEC" w:rsidRPr="004A5E1B" w:rsidRDefault="00903AEC" w:rsidP="00425DAB">
            <w:pPr>
              <w:rPr>
                <w:caps/>
              </w:rPr>
            </w:pPr>
            <w:r w:rsidRPr="004A5E1B">
              <w:rPr>
                <w:caps/>
              </w:rPr>
              <w:t>336</w:t>
            </w:r>
            <w:r w:rsidR="00E1113B">
              <w:rPr>
                <w:caps/>
              </w:rPr>
              <w:t>,000</w:t>
            </w:r>
          </w:p>
        </w:tc>
      </w:tr>
      <w:tr w:rsidR="008D237C" w:rsidRPr="004A5E1B" w:rsidTr="004A5E1B">
        <w:trPr>
          <w:trHeight w:val="460"/>
        </w:trPr>
        <w:tc>
          <w:tcPr>
            <w:tcW w:w="2410" w:type="dxa"/>
            <w:shd w:val="clear" w:color="auto" w:fill="auto"/>
            <w:hideMark/>
          </w:tcPr>
          <w:p w:rsidR="00903AEC" w:rsidRPr="004A5E1B" w:rsidRDefault="00903AEC" w:rsidP="00425DAB">
            <w:pPr>
              <w:rPr>
                <w:caps/>
              </w:rPr>
            </w:pPr>
            <w:r w:rsidRPr="004A5E1B">
              <w:rPr>
                <w:caps/>
              </w:rPr>
              <w:t>3</w:t>
            </w:r>
          </w:p>
        </w:tc>
        <w:tc>
          <w:tcPr>
            <w:tcW w:w="1228" w:type="dxa"/>
            <w:shd w:val="clear" w:color="auto" w:fill="auto"/>
            <w:hideMark/>
          </w:tcPr>
          <w:p w:rsidR="00903AEC" w:rsidRPr="004A5E1B" w:rsidRDefault="00903AEC" w:rsidP="00425DAB">
            <w:pPr>
              <w:rPr>
                <w:caps/>
              </w:rPr>
            </w:pPr>
            <w:r w:rsidRPr="004A5E1B">
              <w:rPr>
                <w:caps/>
              </w:rPr>
              <w:t>134</w:t>
            </w:r>
            <w:r w:rsidR="00E1113B">
              <w:rPr>
                <w:caps/>
              </w:rPr>
              <w:t>,000</w:t>
            </w:r>
          </w:p>
        </w:tc>
        <w:tc>
          <w:tcPr>
            <w:tcW w:w="1229" w:type="dxa"/>
            <w:shd w:val="clear" w:color="auto" w:fill="auto"/>
            <w:hideMark/>
          </w:tcPr>
          <w:p w:rsidR="00903AEC" w:rsidRPr="004A5E1B" w:rsidRDefault="00903AEC" w:rsidP="00425DAB">
            <w:pPr>
              <w:rPr>
                <w:caps/>
              </w:rPr>
            </w:pPr>
            <w:r w:rsidRPr="004A5E1B">
              <w:rPr>
                <w:caps/>
              </w:rPr>
              <w:t>138</w:t>
            </w:r>
            <w:r w:rsidR="00E1113B">
              <w:rPr>
                <w:caps/>
              </w:rPr>
              <w:t>,000</w:t>
            </w:r>
          </w:p>
        </w:tc>
        <w:tc>
          <w:tcPr>
            <w:tcW w:w="1228" w:type="dxa"/>
            <w:shd w:val="clear" w:color="auto" w:fill="auto"/>
            <w:hideMark/>
          </w:tcPr>
          <w:p w:rsidR="00903AEC" w:rsidRPr="004A5E1B" w:rsidRDefault="00903AEC" w:rsidP="00425DAB">
            <w:pPr>
              <w:rPr>
                <w:caps/>
              </w:rPr>
            </w:pPr>
            <w:r w:rsidRPr="004A5E1B">
              <w:rPr>
                <w:caps/>
              </w:rPr>
              <w:t>142</w:t>
            </w:r>
            <w:r w:rsidR="00E1113B">
              <w:rPr>
                <w:caps/>
              </w:rPr>
              <w:t>,000</w:t>
            </w:r>
          </w:p>
        </w:tc>
        <w:tc>
          <w:tcPr>
            <w:tcW w:w="1229" w:type="dxa"/>
            <w:shd w:val="clear" w:color="auto" w:fill="auto"/>
            <w:hideMark/>
          </w:tcPr>
          <w:p w:rsidR="00903AEC" w:rsidRPr="004A5E1B" w:rsidRDefault="00903AEC" w:rsidP="00425DAB">
            <w:pPr>
              <w:rPr>
                <w:caps/>
              </w:rPr>
            </w:pPr>
            <w:r w:rsidRPr="004A5E1B">
              <w:rPr>
                <w:caps/>
              </w:rPr>
              <w:t>146</w:t>
            </w:r>
            <w:r w:rsidR="00E1113B">
              <w:rPr>
                <w:caps/>
              </w:rPr>
              <w:t>,000</w:t>
            </w:r>
          </w:p>
        </w:tc>
        <w:tc>
          <w:tcPr>
            <w:tcW w:w="1228" w:type="dxa"/>
            <w:shd w:val="clear" w:color="auto" w:fill="auto"/>
            <w:hideMark/>
          </w:tcPr>
          <w:p w:rsidR="00903AEC" w:rsidRPr="004A5E1B" w:rsidRDefault="00903AEC" w:rsidP="00425DAB">
            <w:pPr>
              <w:rPr>
                <w:caps/>
              </w:rPr>
            </w:pPr>
            <w:r w:rsidRPr="004A5E1B">
              <w:rPr>
                <w:caps/>
              </w:rPr>
              <w:t>150</w:t>
            </w:r>
            <w:r w:rsidR="00E1113B">
              <w:rPr>
                <w:caps/>
              </w:rPr>
              <w:t>,000</w:t>
            </w:r>
          </w:p>
        </w:tc>
        <w:tc>
          <w:tcPr>
            <w:tcW w:w="1229" w:type="dxa"/>
            <w:shd w:val="clear" w:color="auto" w:fill="auto"/>
            <w:hideMark/>
          </w:tcPr>
          <w:p w:rsidR="00903AEC" w:rsidRPr="004A5E1B" w:rsidRDefault="00903AEC" w:rsidP="00425DAB">
            <w:pPr>
              <w:rPr>
                <w:caps/>
              </w:rPr>
            </w:pPr>
            <w:r w:rsidRPr="004A5E1B">
              <w:rPr>
                <w:caps/>
              </w:rPr>
              <w:t>155</w:t>
            </w:r>
            <w:r w:rsidR="00E1113B">
              <w:rPr>
                <w:caps/>
              </w:rPr>
              <w:t>,000</w:t>
            </w:r>
          </w:p>
        </w:tc>
      </w:tr>
      <w:tr w:rsidR="008D237C" w:rsidRPr="004A5E1B" w:rsidTr="004A5E1B">
        <w:trPr>
          <w:trHeight w:val="460"/>
        </w:trPr>
        <w:tc>
          <w:tcPr>
            <w:tcW w:w="2410" w:type="dxa"/>
            <w:shd w:val="clear" w:color="auto" w:fill="auto"/>
            <w:hideMark/>
          </w:tcPr>
          <w:p w:rsidR="00903AEC" w:rsidRPr="004A5E1B" w:rsidRDefault="00903AEC" w:rsidP="00425DAB">
            <w:pPr>
              <w:rPr>
                <w:caps/>
              </w:rPr>
            </w:pPr>
            <w:r w:rsidRPr="004A5E1B">
              <w:rPr>
                <w:caps/>
              </w:rPr>
              <w:t>4</w:t>
            </w:r>
          </w:p>
        </w:tc>
        <w:tc>
          <w:tcPr>
            <w:tcW w:w="1228" w:type="dxa"/>
            <w:shd w:val="clear" w:color="auto" w:fill="auto"/>
            <w:hideMark/>
          </w:tcPr>
          <w:p w:rsidR="00903AEC" w:rsidRPr="004A5E1B" w:rsidRDefault="00903AEC" w:rsidP="00425DAB">
            <w:pPr>
              <w:rPr>
                <w:caps/>
              </w:rPr>
            </w:pPr>
            <w:r w:rsidRPr="004A5E1B">
              <w:rPr>
                <w:caps/>
              </w:rPr>
              <w:t>174</w:t>
            </w:r>
            <w:r w:rsidR="00E1113B">
              <w:rPr>
                <w:caps/>
              </w:rPr>
              <w:t>,000</w:t>
            </w:r>
          </w:p>
        </w:tc>
        <w:tc>
          <w:tcPr>
            <w:tcW w:w="1229" w:type="dxa"/>
            <w:shd w:val="clear" w:color="auto" w:fill="auto"/>
            <w:hideMark/>
          </w:tcPr>
          <w:p w:rsidR="00903AEC" w:rsidRPr="004A5E1B" w:rsidRDefault="00903AEC" w:rsidP="00425DAB">
            <w:pPr>
              <w:rPr>
                <w:caps/>
              </w:rPr>
            </w:pPr>
            <w:r w:rsidRPr="004A5E1B">
              <w:rPr>
                <w:caps/>
              </w:rPr>
              <w:t>54</w:t>
            </w:r>
            <w:r w:rsidR="00E1113B">
              <w:rPr>
                <w:caps/>
              </w:rPr>
              <w:t>,000</w:t>
            </w:r>
          </w:p>
        </w:tc>
        <w:tc>
          <w:tcPr>
            <w:tcW w:w="1228" w:type="dxa"/>
            <w:shd w:val="clear" w:color="auto" w:fill="auto"/>
            <w:hideMark/>
          </w:tcPr>
          <w:p w:rsidR="00903AEC" w:rsidRPr="004A5E1B" w:rsidRDefault="00903AEC" w:rsidP="00425DAB">
            <w:pPr>
              <w:rPr>
                <w:caps/>
              </w:rPr>
            </w:pPr>
            <w:r w:rsidRPr="004A5E1B">
              <w:rPr>
                <w:caps/>
              </w:rPr>
              <w:t>54</w:t>
            </w:r>
            <w:r w:rsidR="00E1113B">
              <w:rPr>
                <w:caps/>
              </w:rPr>
              <w:t>,000</w:t>
            </w:r>
          </w:p>
        </w:tc>
        <w:tc>
          <w:tcPr>
            <w:tcW w:w="1229" w:type="dxa"/>
            <w:shd w:val="clear" w:color="auto" w:fill="auto"/>
            <w:hideMark/>
          </w:tcPr>
          <w:p w:rsidR="00903AEC" w:rsidRPr="004A5E1B" w:rsidRDefault="00903AEC" w:rsidP="00425DAB">
            <w:pPr>
              <w:rPr>
                <w:caps/>
              </w:rPr>
            </w:pPr>
            <w:r w:rsidRPr="004A5E1B">
              <w:rPr>
                <w:caps/>
              </w:rPr>
              <w:t>54</w:t>
            </w:r>
            <w:r w:rsidR="00E1113B">
              <w:rPr>
                <w:caps/>
              </w:rPr>
              <w:t>,000</w:t>
            </w:r>
          </w:p>
        </w:tc>
        <w:tc>
          <w:tcPr>
            <w:tcW w:w="1228" w:type="dxa"/>
            <w:shd w:val="clear" w:color="auto" w:fill="auto"/>
            <w:hideMark/>
          </w:tcPr>
          <w:p w:rsidR="00903AEC" w:rsidRPr="004A5E1B" w:rsidRDefault="00903AEC" w:rsidP="00425DAB">
            <w:pPr>
              <w:rPr>
                <w:caps/>
              </w:rPr>
            </w:pPr>
            <w:r w:rsidRPr="004A5E1B">
              <w:rPr>
                <w:caps/>
              </w:rPr>
              <w:t>54</w:t>
            </w:r>
            <w:r w:rsidR="00E1113B">
              <w:rPr>
                <w:caps/>
              </w:rPr>
              <w:t>,000</w:t>
            </w:r>
          </w:p>
        </w:tc>
        <w:tc>
          <w:tcPr>
            <w:tcW w:w="1229" w:type="dxa"/>
            <w:shd w:val="clear" w:color="auto" w:fill="auto"/>
            <w:hideMark/>
          </w:tcPr>
          <w:p w:rsidR="00903AEC" w:rsidRPr="004A5E1B" w:rsidRDefault="00E1113B" w:rsidP="00425DAB">
            <w:pPr>
              <w:rPr>
                <w:caps/>
              </w:rPr>
            </w:pPr>
            <w:r>
              <w:rPr>
                <w:caps/>
              </w:rPr>
              <w:t>54,000</w:t>
            </w:r>
          </w:p>
        </w:tc>
      </w:tr>
      <w:tr w:rsidR="008D237C" w:rsidRPr="004A5E1B" w:rsidTr="004A5E1B">
        <w:trPr>
          <w:trHeight w:val="460"/>
        </w:trPr>
        <w:tc>
          <w:tcPr>
            <w:tcW w:w="2410" w:type="dxa"/>
            <w:shd w:val="clear" w:color="auto" w:fill="auto"/>
            <w:hideMark/>
          </w:tcPr>
          <w:p w:rsidR="00903AEC" w:rsidRPr="004A5E1B" w:rsidRDefault="00903AEC" w:rsidP="00425DAB">
            <w:pPr>
              <w:rPr>
                <w:caps/>
              </w:rPr>
            </w:pPr>
            <w:r w:rsidRPr="004A5E1B">
              <w:rPr>
                <w:caps/>
              </w:rPr>
              <w:t>5</w:t>
            </w:r>
          </w:p>
        </w:tc>
        <w:tc>
          <w:tcPr>
            <w:tcW w:w="1228" w:type="dxa"/>
            <w:shd w:val="clear" w:color="auto" w:fill="auto"/>
            <w:hideMark/>
          </w:tcPr>
          <w:p w:rsidR="00903AEC" w:rsidRPr="004A5E1B" w:rsidRDefault="00903AEC" w:rsidP="00425DAB">
            <w:pPr>
              <w:rPr>
                <w:caps/>
              </w:rPr>
            </w:pPr>
            <w:r w:rsidRPr="004A5E1B">
              <w:rPr>
                <w:caps/>
              </w:rPr>
              <w:t>1.268 M</w:t>
            </w:r>
          </w:p>
        </w:tc>
        <w:tc>
          <w:tcPr>
            <w:tcW w:w="1229" w:type="dxa"/>
            <w:shd w:val="clear" w:color="auto" w:fill="auto"/>
            <w:hideMark/>
          </w:tcPr>
          <w:p w:rsidR="00903AEC" w:rsidRPr="004A5E1B" w:rsidRDefault="00903AEC" w:rsidP="00425DAB">
            <w:pPr>
              <w:rPr>
                <w:caps/>
              </w:rPr>
            </w:pPr>
            <w:r w:rsidRPr="004A5E1B">
              <w:rPr>
                <w:caps/>
              </w:rPr>
              <w:t>4.129 M</w:t>
            </w:r>
          </w:p>
        </w:tc>
        <w:tc>
          <w:tcPr>
            <w:tcW w:w="1228" w:type="dxa"/>
            <w:shd w:val="clear" w:color="auto" w:fill="auto"/>
            <w:hideMark/>
          </w:tcPr>
          <w:p w:rsidR="00903AEC" w:rsidRPr="004A5E1B" w:rsidRDefault="00903AEC" w:rsidP="00425DAB">
            <w:pPr>
              <w:rPr>
                <w:caps/>
              </w:rPr>
            </w:pPr>
            <w:r w:rsidRPr="004A5E1B">
              <w:rPr>
                <w:caps/>
              </w:rPr>
              <w:t>4.131 M</w:t>
            </w:r>
          </w:p>
        </w:tc>
        <w:tc>
          <w:tcPr>
            <w:tcW w:w="1229" w:type="dxa"/>
            <w:shd w:val="clear" w:color="auto" w:fill="auto"/>
            <w:hideMark/>
          </w:tcPr>
          <w:p w:rsidR="00903AEC" w:rsidRPr="004A5E1B" w:rsidRDefault="00903AEC" w:rsidP="00425DAB">
            <w:pPr>
              <w:rPr>
                <w:caps/>
              </w:rPr>
            </w:pPr>
            <w:r w:rsidRPr="004A5E1B">
              <w:rPr>
                <w:caps/>
              </w:rPr>
              <w:t>4.133 M</w:t>
            </w:r>
          </w:p>
        </w:tc>
        <w:tc>
          <w:tcPr>
            <w:tcW w:w="1228" w:type="dxa"/>
            <w:shd w:val="clear" w:color="auto" w:fill="auto"/>
            <w:hideMark/>
          </w:tcPr>
          <w:p w:rsidR="00903AEC" w:rsidRPr="004A5E1B" w:rsidRDefault="00903AEC" w:rsidP="00425DAB">
            <w:pPr>
              <w:rPr>
                <w:caps/>
              </w:rPr>
            </w:pPr>
            <w:r w:rsidRPr="004A5E1B">
              <w:rPr>
                <w:caps/>
              </w:rPr>
              <w:t>4.135 M</w:t>
            </w:r>
          </w:p>
        </w:tc>
        <w:tc>
          <w:tcPr>
            <w:tcW w:w="1229" w:type="dxa"/>
            <w:shd w:val="clear" w:color="auto" w:fill="auto"/>
            <w:hideMark/>
          </w:tcPr>
          <w:p w:rsidR="00903AEC" w:rsidRPr="004A5E1B" w:rsidRDefault="00903AEC" w:rsidP="00425DAB">
            <w:pPr>
              <w:rPr>
                <w:caps/>
              </w:rPr>
            </w:pPr>
            <w:r w:rsidRPr="004A5E1B">
              <w:rPr>
                <w:caps/>
              </w:rPr>
              <w:t>4.137 M</w:t>
            </w:r>
          </w:p>
        </w:tc>
      </w:tr>
      <w:tr w:rsidR="008D237C" w:rsidRPr="004A5E1B" w:rsidTr="004A5E1B">
        <w:trPr>
          <w:trHeight w:val="460"/>
        </w:trPr>
        <w:tc>
          <w:tcPr>
            <w:tcW w:w="2410" w:type="dxa"/>
            <w:shd w:val="clear" w:color="auto" w:fill="auto"/>
            <w:hideMark/>
          </w:tcPr>
          <w:p w:rsidR="00903AEC" w:rsidRPr="004A5E1B" w:rsidRDefault="00903AEC" w:rsidP="00425DAB">
            <w:pPr>
              <w:rPr>
                <w:caps/>
              </w:rPr>
            </w:pPr>
            <w:r w:rsidRPr="004A5E1B">
              <w:rPr>
                <w:caps/>
              </w:rPr>
              <w:t>6</w:t>
            </w:r>
          </w:p>
        </w:tc>
        <w:tc>
          <w:tcPr>
            <w:tcW w:w="1228" w:type="dxa"/>
            <w:shd w:val="clear" w:color="auto" w:fill="auto"/>
            <w:hideMark/>
          </w:tcPr>
          <w:p w:rsidR="00903AEC" w:rsidRPr="004A5E1B" w:rsidRDefault="00903AEC" w:rsidP="00425DAB">
            <w:pPr>
              <w:rPr>
                <w:caps/>
              </w:rPr>
            </w:pPr>
            <w:r w:rsidRPr="004A5E1B">
              <w:rPr>
                <w:caps/>
              </w:rPr>
              <w:t>230</w:t>
            </w:r>
            <w:r w:rsidR="00E1113B">
              <w:rPr>
                <w:caps/>
              </w:rPr>
              <w:t>,000</w:t>
            </w:r>
          </w:p>
        </w:tc>
        <w:tc>
          <w:tcPr>
            <w:tcW w:w="1229" w:type="dxa"/>
            <w:shd w:val="clear" w:color="auto" w:fill="auto"/>
            <w:hideMark/>
          </w:tcPr>
          <w:p w:rsidR="00903AEC" w:rsidRPr="004A5E1B" w:rsidRDefault="00903AEC" w:rsidP="00425DAB">
            <w:pPr>
              <w:rPr>
                <w:caps/>
              </w:rPr>
            </w:pPr>
            <w:r w:rsidRPr="004A5E1B">
              <w:rPr>
                <w:caps/>
              </w:rPr>
              <w:t>270</w:t>
            </w:r>
            <w:r w:rsidR="00E1113B">
              <w:rPr>
                <w:caps/>
              </w:rPr>
              <w:t>,000</w:t>
            </w:r>
          </w:p>
        </w:tc>
        <w:tc>
          <w:tcPr>
            <w:tcW w:w="1228" w:type="dxa"/>
            <w:shd w:val="clear" w:color="auto" w:fill="auto"/>
            <w:hideMark/>
          </w:tcPr>
          <w:p w:rsidR="00903AEC" w:rsidRPr="004A5E1B" w:rsidRDefault="00903AEC" w:rsidP="00425DAB">
            <w:pPr>
              <w:rPr>
                <w:caps/>
              </w:rPr>
            </w:pPr>
            <w:r w:rsidRPr="004A5E1B">
              <w:rPr>
                <w:caps/>
              </w:rPr>
              <w:t>292</w:t>
            </w:r>
            <w:r w:rsidR="00E1113B">
              <w:rPr>
                <w:caps/>
              </w:rPr>
              <w:t>,000</w:t>
            </w:r>
          </w:p>
        </w:tc>
        <w:tc>
          <w:tcPr>
            <w:tcW w:w="1229" w:type="dxa"/>
            <w:shd w:val="clear" w:color="auto" w:fill="auto"/>
            <w:hideMark/>
          </w:tcPr>
          <w:p w:rsidR="00903AEC" w:rsidRPr="004A5E1B" w:rsidRDefault="00903AEC" w:rsidP="00425DAB">
            <w:pPr>
              <w:rPr>
                <w:caps/>
              </w:rPr>
            </w:pPr>
            <w:r w:rsidRPr="004A5E1B">
              <w:rPr>
                <w:caps/>
              </w:rPr>
              <w:t>316</w:t>
            </w:r>
            <w:r w:rsidR="00E1113B">
              <w:rPr>
                <w:caps/>
              </w:rPr>
              <w:t>,000</w:t>
            </w:r>
          </w:p>
        </w:tc>
        <w:tc>
          <w:tcPr>
            <w:tcW w:w="1228" w:type="dxa"/>
            <w:shd w:val="clear" w:color="auto" w:fill="auto"/>
            <w:hideMark/>
          </w:tcPr>
          <w:p w:rsidR="00903AEC" w:rsidRPr="004A5E1B" w:rsidRDefault="00E1113B" w:rsidP="00425DAB">
            <w:pPr>
              <w:rPr>
                <w:caps/>
              </w:rPr>
            </w:pPr>
            <w:r>
              <w:rPr>
                <w:caps/>
              </w:rPr>
              <w:t>343,000</w:t>
            </w:r>
          </w:p>
        </w:tc>
        <w:tc>
          <w:tcPr>
            <w:tcW w:w="1229" w:type="dxa"/>
            <w:shd w:val="clear" w:color="auto" w:fill="auto"/>
            <w:hideMark/>
          </w:tcPr>
          <w:p w:rsidR="00903AEC" w:rsidRPr="004A5E1B" w:rsidRDefault="00903AEC" w:rsidP="00425DAB">
            <w:pPr>
              <w:rPr>
                <w:caps/>
              </w:rPr>
            </w:pPr>
            <w:r w:rsidRPr="004A5E1B">
              <w:rPr>
                <w:caps/>
              </w:rPr>
              <w:t>372</w:t>
            </w:r>
            <w:r w:rsidR="00E1113B">
              <w:rPr>
                <w:caps/>
              </w:rPr>
              <w:t>,000</w:t>
            </w:r>
          </w:p>
        </w:tc>
      </w:tr>
      <w:tr w:rsidR="008D237C" w:rsidRPr="004A5E1B" w:rsidTr="004A5E1B">
        <w:trPr>
          <w:trHeight w:val="460"/>
        </w:trPr>
        <w:tc>
          <w:tcPr>
            <w:tcW w:w="2410" w:type="dxa"/>
            <w:shd w:val="clear" w:color="auto" w:fill="auto"/>
            <w:hideMark/>
          </w:tcPr>
          <w:p w:rsidR="00903AEC" w:rsidRPr="004A5E1B" w:rsidRDefault="00903AEC" w:rsidP="00425DAB">
            <w:pPr>
              <w:rPr>
                <w:caps/>
              </w:rPr>
            </w:pPr>
            <w:r w:rsidRPr="004A5E1B">
              <w:rPr>
                <w:caps/>
              </w:rPr>
              <w:t> GRAND TOTAL</w:t>
            </w:r>
          </w:p>
        </w:tc>
        <w:tc>
          <w:tcPr>
            <w:tcW w:w="1228" w:type="dxa"/>
            <w:shd w:val="clear" w:color="auto" w:fill="auto"/>
            <w:hideMark/>
          </w:tcPr>
          <w:p w:rsidR="00903AEC" w:rsidRPr="004A5E1B" w:rsidRDefault="00903AEC" w:rsidP="00425DAB">
            <w:pPr>
              <w:rPr>
                <w:caps/>
              </w:rPr>
            </w:pPr>
            <w:r w:rsidRPr="004A5E1B">
              <w:rPr>
                <w:caps/>
              </w:rPr>
              <w:t>2.966 M</w:t>
            </w:r>
          </w:p>
        </w:tc>
        <w:tc>
          <w:tcPr>
            <w:tcW w:w="1229" w:type="dxa"/>
            <w:shd w:val="clear" w:color="auto" w:fill="auto"/>
            <w:hideMark/>
          </w:tcPr>
          <w:p w:rsidR="00903AEC" w:rsidRPr="004A5E1B" w:rsidRDefault="00903AEC" w:rsidP="00425DAB">
            <w:pPr>
              <w:rPr>
                <w:caps/>
              </w:rPr>
            </w:pPr>
            <w:r w:rsidRPr="004A5E1B">
              <w:rPr>
                <w:caps/>
              </w:rPr>
              <w:t>5.734 M</w:t>
            </w:r>
          </w:p>
        </w:tc>
        <w:tc>
          <w:tcPr>
            <w:tcW w:w="1228" w:type="dxa"/>
            <w:shd w:val="clear" w:color="auto" w:fill="auto"/>
            <w:hideMark/>
          </w:tcPr>
          <w:p w:rsidR="00903AEC" w:rsidRPr="004A5E1B" w:rsidRDefault="00903AEC" w:rsidP="00425DAB">
            <w:pPr>
              <w:rPr>
                <w:caps/>
              </w:rPr>
            </w:pPr>
            <w:r w:rsidRPr="004A5E1B">
              <w:rPr>
                <w:caps/>
              </w:rPr>
              <w:t>5.833 M</w:t>
            </w:r>
          </w:p>
        </w:tc>
        <w:tc>
          <w:tcPr>
            <w:tcW w:w="1229" w:type="dxa"/>
            <w:shd w:val="clear" w:color="auto" w:fill="auto"/>
            <w:hideMark/>
          </w:tcPr>
          <w:p w:rsidR="00903AEC" w:rsidRPr="004A5E1B" w:rsidRDefault="00903AEC" w:rsidP="00425DAB">
            <w:pPr>
              <w:rPr>
                <w:caps/>
              </w:rPr>
            </w:pPr>
            <w:r w:rsidRPr="004A5E1B">
              <w:rPr>
                <w:caps/>
              </w:rPr>
              <w:t>5.897 M</w:t>
            </w:r>
          </w:p>
        </w:tc>
        <w:tc>
          <w:tcPr>
            <w:tcW w:w="1228" w:type="dxa"/>
            <w:shd w:val="clear" w:color="auto" w:fill="auto"/>
            <w:hideMark/>
          </w:tcPr>
          <w:p w:rsidR="00903AEC" w:rsidRPr="004A5E1B" w:rsidRDefault="00903AEC" w:rsidP="00425DAB">
            <w:pPr>
              <w:rPr>
                <w:caps/>
              </w:rPr>
            </w:pPr>
            <w:r w:rsidRPr="004A5E1B">
              <w:rPr>
                <w:caps/>
              </w:rPr>
              <w:t>6.008 M</w:t>
            </w:r>
          </w:p>
        </w:tc>
        <w:tc>
          <w:tcPr>
            <w:tcW w:w="1229" w:type="dxa"/>
            <w:shd w:val="clear" w:color="auto" w:fill="auto"/>
            <w:hideMark/>
          </w:tcPr>
          <w:p w:rsidR="00903AEC" w:rsidRPr="004A5E1B" w:rsidRDefault="00903AEC" w:rsidP="00425DAB">
            <w:pPr>
              <w:rPr>
                <w:caps/>
              </w:rPr>
            </w:pPr>
            <w:r w:rsidRPr="004A5E1B">
              <w:rPr>
                <w:caps/>
              </w:rPr>
              <w:t>6.066 M</w:t>
            </w:r>
          </w:p>
        </w:tc>
      </w:tr>
    </w:tbl>
    <w:p w:rsidR="00165722" w:rsidRPr="00415420" w:rsidRDefault="00165722" w:rsidP="00415420">
      <w:pPr>
        <w:pStyle w:val="Heading1"/>
      </w:pPr>
      <w:bookmarkStart w:id="34" w:name="_Toc357508231"/>
      <w:r w:rsidRPr="00987C7F">
        <w:t>Appendix</w:t>
      </w:r>
      <w:bookmarkEnd w:id="34"/>
    </w:p>
    <w:p w:rsidR="00165722" w:rsidRPr="00425DAB" w:rsidRDefault="00165722" w:rsidP="00425DAB">
      <w:pPr>
        <w:pStyle w:val="Heading2"/>
        <w:rPr>
          <w:shd w:val="clear" w:color="auto" w:fill="FFFFFF"/>
        </w:rPr>
      </w:pPr>
      <w:bookmarkStart w:id="35" w:name="_Toc357508232"/>
      <w:r w:rsidRPr="00987C7F">
        <w:t xml:space="preserve">1. </w:t>
      </w:r>
      <w:r w:rsidRPr="00987C7F">
        <w:rPr>
          <w:shd w:val="clear" w:color="auto" w:fill="FFFFFF"/>
        </w:rPr>
        <w:t>Key Terms</w:t>
      </w:r>
      <w:bookmarkEnd w:id="35"/>
    </w:p>
    <w:p w:rsidR="00165722" w:rsidRPr="00425DAB" w:rsidRDefault="00165722" w:rsidP="00E1390B">
      <w:pPr>
        <w:pStyle w:val="Heading3"/>
        <w:rPr>
          <w:shd w:val="clear" w:color="auto" w:fill="FFFFFF"/>
        </w:rPr>
      </w:pPr>
      <w:bookmarkStart w:id="36" w:name="_Toc356997034"/>
      <w:bookmarkStart w:id="37" w:name="_Toc357508233"/>
      <w:r w:rsidRPr="00425DAB">
        <w:rPr>
          <w:shd w:val="clear" w:color="auto" w:fill="FFFFFF"/>
        </w:rPr>
        <w:t>Access</w:t>
      </w:r>
      <w:bookmarkEnd w:id="36"/>
      <w:bookmarkEnd w:id="37"/>
    </w:p>
    <w:p w:rsidR="00165722" w:rsidRPr="00425DAB" w:rsidRDefault="00165722" w:rsidP="00165722">
      <w:pPr>
        <w:rPr>
          <w:rFonts w:cs="Arial"/>
          <w:szCs w:val="20"/>
          <w:shd w:val="clear" w:color="auto" w:fill="FFFFFF"/>
        </w:rPr>
      </w:pPr>
      <w:r w:rsidRPr="005838BE">
        <w:rPr>
          <w:rFonts w:cs="Arial"/>
          <w:szCs w:val="20"/>
          <w:shd w:val="clear" w:color="auto" w:fill="FFFFFF"/>
        </w:rPr>
        <w:t>The word ‘access’ refers to people’s ability to participate in the life of the University which includes its learning, teaching, physical, digital and communication environments.</w:t>
      </w:r>
    </w:p>
    <w:p w:rsidR="00165722" w:rsidRPr="00987C7F" w:rsidRDefault="00165722" w:rsidP="00E1390B">
      <w:pPr>
        <w:pStyle w:val="Heading3"/>
        <w:rPr>
          <w:caps/>
          <w:shd w:val="clear" w:color="auto" w:fill="FFFFFF"/>
        </w:rPr>
      </w:pPr>
      <w:bookmarkStart w:id="38" w:name="_Toc356990249"/>
      <w:bookmarkStart w:id="39" w:name="_Toc356997035"/>
      <w:bookmarkStart w:id="40" w:name="_Toc357508234"/>
      <w:r w:rsidRPr="00987C7F">
        <w:t>Objective</w:t>
      </w:r>
      <w:bookmarkEnd w:id="38"/>
      <w:bookmarkEnd w:id="39"/>
      <w:bookmarkEnd w:id="40"/>
    </w:p>
    <w:p w:rsidR="00165722" w:rsidRPr="00425DAB" w:rsidRDefault="00165722" w:rsidP="00165722">
      <w:pPr>
        <w:rPr>
          <w:rFonts w:cs="Arial"/>
          <w:szCs w:val="20"/>
        </w:rPr>
      </w:pPr>
      <w:r w:rsidRPr="00987C7F">
        <w:rPr>
          <w:rFonts w:cs="Arial"/>
          <w:szCs w:val="20"/>
        </w:rPr>
        <w:t xml:space="preserve">The word ‘objective’ </w:t>
      </w:r>
      <w:r w:rsidR="002A0A62">
        <w:rPr>
          <w:rFonts w:cs="Arial"/>
          <w:szCs w:val="20"/>
        </w:rPr>
        <w:t xml:space="preserve">describes </w:t>
      </w:r>
      <w:r w:rsidRPr="00987C7F">
        <w:rPr>
          <w:rFonts w:cs="Arial"/>
          <w:szCs w:val="20"/>
        </w:rPr>
        <w:t>the University’s ultimate goals and benchmarks to improve access and inclusion for people with disabilities.</w:t>
      </w:r>
    </w:p>
    <w:p w:rsidR="00165722" w:rsidRPr="00987C7F" w:rsidRDefault="00165722" w:rsidP="00E1390B">
      <w:pPr>
        <w:pStyle w:val="Heading3"/>
      </w:pPr>
      <w:bookmarkStart w:id="41" w:name="_Toc356990250"/>
      <w:bookmarkStart w:id="42" w:name="_Toc356997036"/>
      <w:bookmarkStart w:id="43" w:name="_Toc357508235"/>
      <w:r w:rsidRPr="00987C7F">
        <w:t>Strategy</w:t>
      </w:r>
      <w:bookmarkEnd w:id="41"/>
      <w:bookmarkEnd w:id="42"/>
      <w:bookmarkEnd w:id="43"/>
    </w:p>
    <w:p w:rsidR="00165722" w:rsidRPr="00425DAB" w:rsidRDefault="00165722" w:rsidP="00165722">
      <w:pPr>
        <w:rPr>
          <w:rFonts w:cs="Arial"/>
          <w:szCs w:val="20"/>
        </w:rPr>
      </w:pPr>
      <w:r w:rsidRPr="00987C7F">
        <w:rPr>
          <w:rFonts w:cs="Arial"/>
          <w:szCs w:val="20"/>
        </w:rPr>
        <w:lastRenderedPageBreak/>
        <w:t xml:space="preserve">The </w:t>
      </w:r>
      <w:r w:rsidR="002A0A62">
        <w:rPr>
          <w:rFonts w:cs="Arial"/>
          <w:szCs w:val="20"/>
        </w:rPr>
        <w:t>word</w:t>
      </w:r>
      <w:r w:rsidRPr="00987C7F">
        <w:rPr>
          <w:rFonts w:cs="Arial"/>
          <w:szCs w:val="20"/>
        </w:rPr>
        <w:t xml:space="preserve"> ‘strategy’ is used to describe the actions that the University will take in order to achieve the objectives which have been set.</w:t>
      </w:r>
    </w:p>
    <w:p w:rsidR="00165722" w:rsidRPr="00987C7F" w:rsidRDefault="00165722" w:rsidP="00E1390B">
      <w:pPr>
        <w:pStyle w:val="Heading3"/>
      </w:pPr>
      <w:bookmarkStart w:id="44" w:name="_Toc356990251"/>
      <w:bookmarkStart w:id="45" w:name="_Toc356997037"/>
      <w:bookmarkStart w:id="46" w:name="_Toc357508236"/>
      <w:r w:rsidRPr="00987C7F">
        <w:t>Outcome</w:t>
      </w:r>
      <w:bookmarkEnd w:id="44"/>
      <w:bookmarkEnd w:id="45"/>
      <w:bookmarkEnd w:id="46"/>
    </w:p>
    <w:p w:rsidR="00165722" w:rsidRPr="00425DAB" w:rsidRDefault="00165722" w:rsidP="00165722">
      <w:pPr>
        <w:rPr>
          <w:rFonts w:cs="Arial"/>
          <w:szCs w:val="20"/>
        </w:rPr>
      </w:pPr>
      <w:r w:rsidRPr="00987C7F">
        <w:rPr>
          <w:rFonts w:cs="Arial"/>
          <w:szCs w:val="20"/>
        </w:rPr>
        <w:t>The outcomes described in the Disability Action Plan are measures which the University will use to assess whether the strategies set are effective in achieving the University’s objectives.</w:t>
      </w:r>
    </w:p>
    <w:p w:rsidR="00165722" w:rsidRPr="00987C7F" w:rsidRDefault="00165722" w:rsidP="00E1390B">
      <w:pPr>
        <w:pStyle w:val="Heading3"/>
      </w:pPr>
      <w:bookmarkStart w:id="47" w:name="_Toc356990252"/>
      <w:bookmarkStart w:id="48" w:name="_Toc356997038"/>
      <w:bookmarkStart w:id="49" w:name="_Toc357508237"/>
      <w:r w:rsidRPr="00987C7F">
        <w:t>Resource</w:t>
      </w:r>
      <w:bookmarkEnd w:id="47"/>
      <w:bookmarkEnd w:id="48"/>
      <w:bookmarkEnd w:id="49"/>
      <w:r w:rsidRPr="00987C7F">
        <w:t xml:space="preserve"> </w:t>
      </w:r>
    </w:p>
    <w:p w:rsidR="00165722" w:rsidRPr="00425DAB" w:rsidRDefault="00165722" w:rsidP="00165722">
      <w:pPr>
        <w:rPr>
          <w:rFonts w:cs="Arial"/>
          <w:szCs w:val="20"/>
        </w:rPr>
      </w:pPr>
      <w:r w:rsidRPr="00987C7F">
        <w:rPr>
          <w:rFonts w:cs="Arial"/>
          <w:szCs w:val="20"/>
        </w:rPr>
        <w:t>The term ‘resource’ refers to a number of sources, which will be used to realise the objectives of the plan. The University will primarily use existing resources, and in other cases require additional resources in the form of money, services, materials and staff to deliver the set objective.</w:t>
      </w:r>
    </w:p>
    <w:p w:rsidR="00165722" w:rsidRPr="005838BE" w:rsidRDefault="00165722" w:rsidP="00E1390B">
      <w:pPr>
        <w:pStyle w:val="Heading3"/>
      </w:pPr>
      <w:bookmarkStart w:id="50" w:name="_Toc356990253"/>
      <w:bookmarkStart w:id="51" w:name="_Toc356997039"/>
      <w:bookmarkStart w:id="52" w:name="_Toc357508238"/>
      <w:r w:rsidRPr="005838BE">
        <w:t>Best practice</w:t>
      </w:r>
      <w:bookmarkEnd w:id="50"/>
      <w:bookmarkEnd w:id="51"/>
      <w:bookmarkEnd w:id="52"/>
    </w:p>
    <w:p w:rsidR="00165722" w:rsidRPr="005838BE" w:rsidRDefault="00165722" w:rsidP="00165722">
      <w:pPr>
        <w:rPr>
          <w:rFonts w:cs="Arial"/>
          <w:szCs w:val="20"/>
          <w:shd w:val="clear" w:color="auto" w:fill="FFFFFF"/>
        </w:rPr>
      </w:pPr>
      <w:r w:rsidRPr="005838BE">
        <w:rPr>
          <w:rFonts w:cs="Arial"/>
          <w:szCs w:val="20"/>
          <w:shd w:val="clear" w:color="auto" w:fill="FFFFFF"/>
        </w:rPr>
        <w:t>The term ‘best practice’ describes a technique or methodology that has been demonstrated through evidence</w:t>
      </w:r>
      <w:r w:rsidR="00EB7696" w:rsidRPr="005838BE">
        <w:rPr>
          <w:rFonts w:cs="Arial"/>
          <w:szCs w:val="20"/>
          <w:shd w:val="clear" w:color="auto" w:fill="FFFFFF"/>
        </w:rPr>
        <w:t>-</w:t>
      </w:r>
      <w:r w:rsidRPr="005838BE">
        <w:rPr>
          <w:rFonts w:cs="Arial"/>
          <w:szCs w:val="20"/>
          <w:shd w:val="clear" w:color="auto" w:fill="FFFFFF"/>
        </w:rPr>
        <w:t>based research to produce results superior to those achieved by other means. Best practice is evolving, benchmarked and often qualitative. As best practice is evolving</w:t>
      </w:r>
      <w:r w:rsidR="00B54FE1" w:rsidRPr="005838BE">
        <w:rPr>
          <w:rFonts w:cs="Arial"/>
          <w:szCs w:val="20"/>
          <w:shd w:val="clear" w:color="auto" w:fill="FFFFFF"/>
        </w:rPr>
        <w:t>,</w:t>
      </w:r>
      <w:r w:rsidRPr="005838BE">
        <w:rPr>
          <w:rFonts w:cs="Arial"/>
          <w:szCs w:val="20"/>
          <w:shd w:val="clear" w:color="auto" w:fill="FFFFFF"/>
        </w:rPr>
        <w:t xml:space="preserve"> the term refers to the best practice for the current year </w:t>
      </w:r>
      <w:r w:rsidR="00B54FE1" w:rsidRPr="005838BE">
        <w:rPr>
          <w:rFonts w:cs="Arial"/>
          <w:szCs w:val="20"/>
          <w:shd w:val="clear" w:color="auto" w:fill="FFFFFF"/>
        </w:rPr>
        <w:t xml:space="preserve">in which </w:t>
      </w:r>
      <w:r w:rsidRPr="005838BE">
        <w:rPr>
          <w:rFonts w:cs="Arial"/>
          <w:szCs w:val="20"/>
          <w:shd w:val="clear" w:color="auto" w:fill="FFFFFF"/>
        </w:rPr>
        <w:t>the particular action within this plan is carried out.</w:t>
      </w:r>
    </w:p>
    <w:p w:rsidR="00165722" w:rsidRPr="005838BE" w:rsidRDefault="00165722" w:rsidP="00E1390B">
      <w:pPr>
        <w:pStyle w:val="Heading3"/>
        <w:rPr>
          <w:shd w:val="clear" w:color="auto" w:fill="FFFFFF"/>
        </w:rPr>
      </w:pPr>
      <w:bookmarkStart w:id="53" w:name="_Toc356990254"/>
      <w:bookmarkStart w:id="54" w:name="_Toc356997040"/>
      <w:bookmarkStart w:id="55" w:name="_Toc357508239"/>
      <w:r w:rsidRPr="005838BE">
        <w:rPr>
          <w:shd w:val="clear" w:color="auto" w:fill="FFFFFF"/>
        </w:rPr>
        <w:t>Standards</w:t>
      </w:r>
      <w:bookmarkEnd w:id="53"/>
      <w:bookmarkEnd w:id="54"/>
      <w:bookmarkEnd w:id="55"/>
    </w:p>
    <w:p w:rsidR="00165722" w:rsidRPr="005838BE" w:rsidRDefault="00165722" w:rsidP="00165722">
      <w:pPr>
        <w:rPr>
          <w:rFonts w:cs="Arial"/>
          <w:iCs/>
          <w:szCs w:val="20"/>
          <w:shd w:val="clear" w:color="auto" w:fill="FFFFFF"/>
          <w:lang w:val="en-US"/>
        </w:rPr>
      </w:pPr>
      <w:r w:rsidRPr="005838BE">
        <w:rPr>
          <w:rFonts w:cs="Arial"/>
          <w:szCs w:val="20"/>
          <w:shd w:val="clear" w:color="auto" w:fill="FFFFFF"/>
        </w:rPr>
        <w:t xml:space="preserve">The current standards for web accessibility specified by the World Wide Web Consortium are the Web Content Accessibility Guidelines (WCAG). It is expected that </w:t>
      </w:r>
      <w:r w:rsidRPr="005838BE">
        <w:rPr>
          <w:rFonts w:cs="Arial"/>
          <w:iCs/>
          <w:szCs w:val="20"/>
          <w:shd w:val="clear" w:color="auto" w:fill="FFFFFF"/>
          <w:lang w:val="en-US"/>
        </w:rPr>
        <w:t xml:space="preserve">all University websites, web content and web applications should conform with WCAG 2.0 to Level AA. </w:t>
      </w:r>
    </w:p>
    <w:p w:rsidR="00165722" w:rsidRPr="00425DAB" w:rsidRDefault="00165722" w:rsidP="00165722">
      <w:pPr>
        <w:rPr>
          <w:rFonts w:cs="Arial"/>
          <w:szCs w:val="20"/>
          <w:shd w:val="clear" w:color="auto" w:fill="FFFFFF"/>
        </w:rPr>
      </w:pPr>
      <w:r w:rsidRPr="005838BE">
        <w:rPr>
          <w:rFonts w:cs="Arial"/>
          <w:szCs w:val="20"/>
          <w:shd w:val="clear" w:color="auto" w:fill="FFFFFF"/>
        </w:rPr>
        <w:t xml:space="preserve">The current best practice standards for access to the built environment is the </w:t>
      </w:r>
      <w:r w:rsidRPr="002A0A62">
        <w:rPr>
          <w:rFonts w:cs="Arial"/>
          <w:szCs w:val="20"/>
          <w:u w:val="single"/>
          <w:shd w:val="clear" w:color="auto" w:fill="FFFFFF"/>
        </w:rPr>
        <w:t xml:space="preserve">Disability </w:t>
      </w:r>
      <w:r w:rsidRPr="002A0A62">
        <w:rPr>
          <w:rFonts w:cs="Arial"/>
          <w:iCs/>
          <w:szCs w:val="20"/>
          <w:u w:val="single"/>
          <w:shd w:val="clear" w:color="auto" w:fill="FFFFFF"/>
        </w:rPr>
        <w:t>Access to Premises – buildings) Standards 2010</w:t>
      </w:r>
      <w:r w:rsidR="00B54FE1" w:rsidRPr="002A0A62">
        <w:rPr>
          <w:rFonts w:cs="Arial"/>
          <w:iCs/>
          <w:szCs w:val="20"/>
          <w:shd w:val="clear" w:color="auto" w:fill="FFFFFF"/>
        </w:rPr>
        <w:t>,</w:t>
      </w:r>
      <w:r w:rsidRPr="005838BE">
        <w:rPr>
          <w:rFonts w:cs="Arial"/>
          <w:i/>
          <w:iCs/>
          <w:szCs w:val="20"/>
          <w:shd w:val="clear" w:color="auto" w:fill="FFFFFF"/>
        </w:rPr>
        <w:t xml:space="preserve"> </w:t>
      </w:r>
      <w:r w:rsidRPr="005838BE">
        <w:rPr>
          <w:rFonts w:cs="Arial"/>
          <w:szCs w:val="20"/>
          <w:shd w:val="clear" w:color="auto" w:fill="FFFFFF"/>
        </w:rPr>
        <w:t xml:space="preserve">therefore the University’s built environment </w:t>
      </w:r>
      <w:r w:rsidR="00716758">
        <w:rPr>
          <w:rFonts w:cs="Arial"/>
          <w:szCs w:val="20"/>
          <w:shd w:val="clear" w:color="auto" w:fill="FFFFFF"/>
        </w:rPr>
        <w:t>should</w:t>
      </w:r>
      <w:r w:rsidRPr="005838BE">
        <w:rPr>
          <w:rFonts w:cs="Arial"/>
          <w:szCs w:val="20"/>
          <w:shd w:val="clear" w:color="auto" w:fill="FFFFFF"/>
        </w:rPr>
        <w:t xml:space="preserve"> comply with those standards.</w:t>
      </w:r>
    </w:p>
    <w:p w:rsidR="00135A94" w:rsidRDefault="00165722" w:rsidP="00425DAB">
      <w:pPr>
        <w:pStyle w:val="Heading2"/>
      </w:pPr>
      <w:bookmarkStart w:id="56" w:name="_Toc357508240"/>
      <w:r w:rsidRPr="00987C7F">
        <w:t>2. Legislation:</w:t>
      </w:r>
      <w:bookmarkEnd w:id="56"/>
    </w:p>
    <w:p w:rsidR="00165722" w:rsidRPr="00987C7F" w:rsidRDefault="00165722" w:rsidP="00165722">
      <w:pPr>
        <w:rPr>
          <w:rFonts w:cs="Arial"/>
          <w:szCs w:val="20"/>
        </w:rPr>
      </w:pPr>
      <w:r w:rsidRPr="00987C7F">
        <w:rPr>
          <w:rFonts w:cs="Arial"/>
          <w:szCs w:val="20"/>
        </w:rPr>
        <w:t>World, Federal and State Legislation:</w:t>
      </w:r>
    </w:p>
    <w:p w:rsidR="00165722" w:rsidRPr="00987C7F" w:rsidRDefault="001D6FD7" w:rsidP="00004DED">
      <w:pPr>
        <w:numPr>
          <w:ilvl w:val="0"/>
          <w:numId w:val="7"/>
        </w:numPr>
        <w:ind w:left="426"/>
        <w:rPr>
          <w:rStyle w:val="Hyperlink"/>
          <w:color w:val="auto"/>
          <w:szCs w:val="20"/>
        </w:rPr>
      </w:pPr>
      <w:hyperlink r:id="rId11" w:history="1">
        <w:r w:rsidR="00165722" w:rsidRPr="00987C7F">
          <w:rPr>
            <w:rStyle w:val="Hyperlink"/>
            <w:rFonts w:cs="Arial"/>
            <w:i/>
            <w:color w:val="auto"/>
            <w:szCs w:val="20"/>
          </w:rPr>
          <w:t>Convention on the Rights of Persons with Disabilities</w:t>
        </w:r>
      </w:hyperlink>
    </w:p>
    <w:p w:rsidR="00165722" w:rsidRPr="00987C7F" w:rsidRDefault="001D6FD7" w:rsidP="00004DED">
      <w:pPr>
        <w:numPr>
          <w:ilvl w:val="0"/>
          <w:numId w:val="7"/>
        </w:numPr>
        <w:ind w:left="426"/>
        <w:rPr>
          <w:rFonts w:cs="Arial"/>
          <w:szCs w:val="20"/>
        </w:rPr>
      </w:pPr>
      <w:hyperlink r:id="rId12" w:history="1">
        <w:r w:rsidR="00165722" w:rsidRPr="00987C7F">
          <w:rPr>
            <w:rStyle w:val="Hyperlink"/>
            <w:rFonts w:cs="Arial"/>
            <w:i/>
            <w:iCs/>
            <w:color w:val="auto"/>
            <w:szCs w:val="20"/>
          </w:rPr>
          <w:t>Disability Discrimination Act 1992 (</w:t>
        </w:r>
        <w:proofErr w:type="spellStart"/>
        <w:r w:rsidR="00165722" w:rsidRPr="00987C7F">
          <w:rPr>
            <w:rStyle w:val="Hyperlink"/>
            <w:rFonts w:cs="Arial"/>
            <w:i/>
            <w:iCs/>
            <w:color w:val="auto"/>
            <w:szCs w:val="20"/>
          </w:rPr>
          <w:t>Cth</w:t>
        </w:r>
        <w:proofErr w:type="spellEnd"/>
        <w:r w:rsidR="00165722" w:rsidRPr="00987C7F">
          <w:rPr>
            <w:rStyle w:val="Hyperlink"/>
            <w:rFonts w:cs="Arial"/>
            <w:i/>
            <w:iCs/>
            <w:color w:val="auto"/>
            <w:szCs w:val="20"/>
          </w:rPr>
          <w:t>)</w:t>
        </w:r>
      </w:hyperlink>
    </w:p>
    <w:p w:rsidR="00165722" w:rsidRPr="00987C7F" w:rsidRDefault="001D6FD7" w:rsidP="00004DED">
      <w:pPr>
        <w:numPr>
          <w:ilvl w:val="0"/>
          <w:numId w:val="7"/>
        </w:numPr>
        <w:ind w:left="426"/>
        <w:rPr>
          <w:rFonts w:cs="Arial"/>
          <w:szCs w:val="20"/>
        </w:rPr>
      </w:pPr>
      <w:hyperlink r:id="rId13" w:history="1">
        <w:r w:rsidR="00165722" w:rsidRPr="00987C7F">
          <w:rPr>
            <w:rStyle w:val="Hyperlink"/>
            <w:rFonts w:cs="Arial"/>
            <w:i/>
            <w:iCs/>
            <w:color w:val="auto"/>
            <w:szCs w:val="20"/>
          </w:rPr>
          <w:t>Fair Work Act 2010 (</w:t>
        </w:r>
        <w:proofErr w:type="spellStart"/>
        <w:r w:rsidR="00165722" w:rsidRPr="00987C7F">
          <w:rPr>
            <w:rStyle w:val="Hyperlink"/>
            <w:rFonts w:cs="Arial"/>
            <w:i/>
            <w:iCs/>
            <w:color w:val="auto"/>
            <w:szCs w:val="20"/>
          </w:rPr>
          <w:t>Cth</w:t>
        </w:r>
        <w:proofErr w:type="spellEnd"/>
        <w:r w:rsidR="00165722" w:rsidRPr="00987C7F">
          <w:rPr>
            <w:rStyle w:val="Hyperlink"/>
            <w:rFonts w:cs="Arial"/>
            <w:i/>
            <w:iCs/>
            <w:color w:val="auto"/>
            <w:szCs w:val="20"/>
          </w:rPr>
          <w:t>)</w:t>
        </w:r>
      </w:hyperlink>
    </w:p>
    <w:p w:rsidR="00165722" w:rsidRPr="00987C7F" w:rsidRDefault="001D6FD7" w:rsidP="00004DED">
      <w:pPr>
        <w:numPr>
          <w:ilvl w:val="0"/>
          <w:numId w:val="7"/>
        </w:numPr>
        <w:ind w:left="426"/>
        <w:rPr>
          <w:rFonts w:cs="Arial"/>
          <w:szCs w:val="20"/>
        </w:rPr>
      </w:pPr>
      <w:hyperlink r:id="rId14" w:history="1">
        <w:r w:rsidR="00165722" w:rsidRPr="00987C7F">
          <w:rPr>
            <w:rStyle w:val="Hyperlink"/>
            <w:rFonts w:cs="Arial"/>
            <w:i/>
            <w:iCs/>
            <w:color w:val="auto"/>
            <w:szCs w:val="20"/>
          </w:rPr>
          <w:t>Privacy and Personal Information Act 1988 (</w:t>
        </w:r>
        <w:proofErr w:type="spellStart"/>
        <w:r w:rsidR="00165722" w:rsidRPr="00987C7F">
          <w:rPr>
            <w:rStyle w:val="Hyperlink"/>
            <w:rFonts w:cs="Arial"/>
            <w:i/>
            <w:iCs/>
            <w:color w:val="auto"/>
            <w:szCs w:val="20"/>
          </w:rPr>
          <w:t>Cth</w:t>
        </w:r>
        <w:proofErr w:type="spellEnd"/>
        <w:r w:rsidR="00165722" w:rsidRPr="00987C7F">
          <w:rPr>
            <w:rStyle w:val="Hyperlink"/>
            <w:rFonts w:cs="Arial"/>
            <w:i/>
            <w:iCs/>
            <w:color w:val="auto"/>
            <w:szCs w:val="20"/>
          </w:rPr>
          <w:t>)</w:t>
        </w:r>
      </w:hyperlink>
    </w:p>
    <w:p w:rsidR="00165722" w:rsidRPr="00987C7F" w:rsidRDefault="001D6FD7" w:rsidP="00004DED">
      <w:pPr>
        <w:numPr>
          <w:ilvl w:val="0"/>
          <w:numId w:val="7"/>
        </w:numPr>
        <w:ind w:left="426"/>
        <w:rPr>
          <w:rFonts w:cs="Arial"/>
          <w:szCs w:val="20"/>
        </w:rPr>
      </w:pPr>
      <w:hyperlink r:id="rId15" w:history="1">
        <w:r w:rsidR="00165722" w:rsidRPr="00987C7F">
          <w:rPr>
            <w:rStyle w:val="Hyperlink"/>
            <w:rFonts w:cs="Arial"/>
            <w:i/>
            <w:iCs/>
            <w:color w:val="auto"/>
            <w:szCs w:val="20"/>
          </w:rPr>
          <w:t>Anti-Discrimination Act 1977 (NSW)</w:t>
        </w:r>
      </w:hyperlink>
    </w:p>
    <w:p w:rsidR="00165722" w:rsidRPr="00987C7F" w:rsidRDefault="001D6FD7" w:rsidP="00004DED">
      <w:pPr>
        <w:numPr>
          <w:ilvl w:val="0"/>
          <w:numId w:val="7"/>
        </w:numPr>
        <w:ind w:left="426"/>
        <w:rPr>
          <w:rStyle w:val="Hyperlink"/>
          <w:color w:val="auto"/>
          <w:szCs w:val="20"/>
        </w:rPr>
      </w:pPr>
      <w:hyperlink r:id="rId16" w:history="1">
        <w:r w:rsidR="00165722" w:rsidRPr="00987C7F">
          <w:rPr>
            <w:rStyle w:val="Hyperlink"/>
            <w:rFonts w:cs="Arial"/>
            <w:i/>
            <w:iCs/>
            <w:color w:val="auto"/>
            <w:szCs w:val="20"/>
          </w:rPr>
          <w:t>Disability Services Act 1993 (NSW)</w:t>
        </w:r>
      </w:hyperlink>
    </w:p>
    <w:p w:rsidR="00165722" w:rsidRPr="00425DAB" w:rsidRDefault="001D6FD7" w:rsidP="00165722">
      <w:pPr>
        <w:numPr>
          <w:ilvl w:val="0"/>
          <w:numId w:val="7"/>
        </w:numPr>
        <w:ind w:left="426"/>
        <w:rPr>
          <w:rFonts w:cs="Arial"/>
          <w:i/>
          <w:szCs w:val="20"/>
        </w:rPr>
      </w:pPr>
      <w:hyperlink r:id="rId17" w:history="1">
        <w:r w:rsidR="00165722" w:rsidRPr="00987C7F">
          <w:rPr>
            <w:rStyle w:val="Hyperlink"/>
            <w:bCs/>
            <w:i/>
            <w:color w:val="auto"/>
            <w:szCs w:val="20"/>
            <w:shd w:val="clear" w:color="auto" w:fill="FFFFFF"/>
          </w:rPr>
          <w:t>Australian Human Rights Com</w:t>
        </w:r>
        <w:r w:rsidR="004F6227">
          <w:rPr>
            <w:rStyle w:val="Hyperlink"/>
            <w:bCs/>
            <w:i/>
            <w:color w:val="auto"/>
            <w:szCs w:val="20"/>
            <w:shd w:val="clear" w:color="auto" w:fill="FFFFFF"/>
          </w:rPr>
          <w:softHyphen/>
        </w:r>
        <w:r w:rsidR="00165722" w:rsidRPr="00987C7F">
          <w:rPr>
            <w:rStyle w:val="Hyperlink"/>
            <w:bCs/>
            <w:i/>
            <w:color w:val="auto"/>
            <w:szCs w:val="20"/>
            <w:shd w:val="clear" w:color="auto" w:fill="FFFFFF"/>
          </w:rPr>
          <w:t>mission Act 1986 (</w:t>
        </w:r>
        <w:proofErr w:type="spellStart"/>
        <w:r w:rsidR="00165722" w:rsidRPr="00987C7F">
          <w:rPr>
            <w:rStyle w:val="Hyperlink"/>
            <w:bCs/>
            <w:i/>
            <w:color w:val="auto"/>
            <w:szCs w:val="20"/>
            <w:shd w:val="clear" w:color="auto" w:fill="FFFFFF"/>
          </w:rPr>
          <w:t>Cth</w:t>
        </w:r>
        <w:proofErr w:type="spellEnd"/>
        <w:r w:rsidR="00165722" w:rsidRPr="00987C7F">
          <w:rPr>
            <w:rStyle w:val="Hyperlink"/>
            <w:bCs/>
            <w:i/>
            <w:color w:val="auto"/>
            <w:szCs w:val="20"/>
            <w:shd w:val="clear" w:color="auto" w:fill="FFFFFF"/>
          </w:rPr>
          <w:t>)</w:t>
        </w:r>
      </w:hyperlink>
    </w:p>
    <w:p w:rsidR="00165722" w:rsidRPr="00987C7F" w:rsidRDefault="00165722" w:rsidP="00165722">
      <w:pPr>
        <w:rPr>
          <w:rFonts w:cs="Arial"/>
          <w:szCs w:val="20"/>
        </w:rPr>
      </w:pPr>
      <w:r w:rsidRPr="00987C7F">
        <w:rPr>
          <w:rFonts w:cs="Arial"/>
          <w:szCs w:val="20"/>
        </w:rPr>
        <w:lastRenderedPageBreak/>
        <w:t xml:space="preserve">Standards and guidelines: </w:t>
      </w:r>
    </w:p>
    <w:p w:rsidR="00165722" w:rsidRPr="002A0A62" w:rsidRDefault="001D6FD7" w:rsidP="00004DED">
      <w:pPr>
        <w:numPr>
          <w:ilvl w:val="0"/>
          <w:numId w:val="7"/>
        </w:numPr>
        <w:ind w:left="426"/>
        <w:rPr>
          <w:rFonts w:cs="Arial"/>
          <w:szCs w:val="20"/>
        </w:rPr>
      </w:pPr>
      <w:hyperlink r:id="rId18" w:history="1">
        <w:r w:rsidR="00165722" w:rsidRPr="002A0A62">
          <w:rPr>
            <w:rStyle w:val="Hyperlink"/>
            <w:rFonts w:cs="Arial"/>
            <w:color w:val="auto"/>
            <w:szCs w:val="20"/>
          </w:rPr>
          <w:t xml:space="preserve">Disability Standards for Education 2005 </w:t>
        </w:r>
      </w:hyperlink>
    </w:p>
    <w:p w:rsidR="00165722" w:rsidRPr="002A0A62" w:rsidRDefault="001D6FD7" w:rsidP="00004DED">
      <w:pPr>
        <w:numPr>
          <w:ilvl w:val="0"/>
          <w:numId w:val="7"/>
        </w:numPr>
        <w:ind w:left="426"/>
        <w:rPr>
          <w:rStyle w:val="Hyperlink"/>
          <w:color w:val="auto"/>
          <w:szCs w:val="20"/>
        </w:rPr>
      </w:pPr>
      <w:hyperlink r:id="rId19" w:history="1">
        <w:r w:rsidR="00165722" w:rsidRPr="002A0A62">
          <w:rPr>
            <w:rStyle w:val="Hyperlink"/>
            <w:rFonts w:cs="Arial"/>
            <w:color w:val="auto"/>
            <w:szCs w:val="20"/>
          </w:rPr>
          <w:t>Report on the Review of Disability Standards for Education 2005</w:t>
        </w:r>
      </w:hyperlink>
    </w:p>
    <w:p w:rsidR="00165722" w:rsidRPr="002A0A62" w:rsidRDefault="001D6FD7" w:rsidP="00004DED">
      <w:pPr>
        <w:numPr>
          <w:ilvl w:val="0"/>
          <w:numId w:val="7"/>
        </w:numPr>
        <w:ind w:left="426"/>
        <w:rPr>
          <w:rFonts w:cs="Arial"/>
          <w:szCs w:val="20"/>
        </w:rPr>
      </w:pPr>
      <w:hyperlink r:id="rId20" w:anchor="1" w:history="1">
        <w:r w:rsidR="00165722" w:rsidRPr="002A0A62">
          <w:rPr>
            <w:rStyle w:val="Hyperlink"/>
            <w:rFonts w:cs="Arial"/>
            <w:color w:val="auto"/>
            <w:szCs w:val="20"/>
          </w:rPr>
          <w:t>The National Disability Strategy 2010-2020</w:t>
        </w:r>
      </w:hyperlink>
    </w:p>
    <w:p w:rsidR="00165722" w:rsidRPr="002A0A62" w:rsidRDefault="001D6FD7" w:rsidP="00004DED">
      <w:pPr>
        <w:numPr>
          <w:ilvl w:val="0"/>
          <w:numId w:val="7"/>
        </w:numPr>
        <w:ind w:left="426"/>
        <w:rPr>
          <w:rStyle w:val="Hyperlink"/>
          <w:color w:val="auto"/>
          <w:szCs w:val="20"/>
        </w:rPr>
      </w:pPr>
      <w:hyperlink r:id="rId21" w:history="1">
        <w:r w:rsidR="00F4773F" w:rsidRPr="002A0A62">
          <w:rPr>
            <w:rStyle w:val="Hyperlink"/>
            <w:rFonts w:cs="Arial"/>
            <w:iCs/>
            <w:color w:val="auto"/>
            <w:szCs w:val="20"/>
          </w:rPr>
          <w:t>Disability Standards for Accessible Public Transport 2002</w:t>
        </w:r>
      </w:hyperlink>
    </w:p>
    <w:p w:rsidR="00165722" w:rsidRPr="002A0A62" w:rsidRDefault="001D6FD7" w:rsidP="00004DED">
      <w:pPr>
        <w:numPr>
          <w:ilvl w:val="0"/>
          <w:numId w:val="7"/>
        </w:numPr>
        <w:tabs>
          <w:tab w:val="left" w:pos="142"/>
        </w:tabs>
        <w:ind w:left="426"/>
        <w:rPr>
          <w:rFonts w:cs="Arial"/>
          <w:szCs w:val="20"/>
        </w:rPr>
      </w:pPr>
      <w:hyperlink r:id="rId22" w:history="1">
        <w:r w:rsidR="00165722" w:rsidRPr="002A0A62">
          <w:rPr>
            <w:rStyle w:val="Hyperlink"/>
            <w:rFonts w:cs="Arial"/>
            <w:iCs/>
            <w:color w:val="auto"/>
            <w:szCs w:val="20"/>
          </w:rPr>
          <w:t xml:space="preserve">Disability (Access to Premises – buildings) Standards 2010 </w:t>
        </w:r>
      </w:hyperlink>
    </w:p>
    <w:p w:rsidR="00165722" w:rsidRPr="002A0A62" w:rsidRDefault="001D6FD7" w:rsidP="00004DED">
      <w:pPr>
        <w:numPr>
          <w:ilvl w:val="0"/>
          <w:numId w:val="7"/>
        </w:numPr>
        <w:ind w:left="426"/>
        <w:rPr>
          <w:rFonts w:cs="Arial"/>
          <w:szCs w:val="20"/>
        </w:rPr>
      </w:pPr>
      <w:hyperlink r:id="rId23" w:history="1">
        <w:r w:rsidR="00165722" w:rsidRPr="002A0A62">
          <w:rPr>
            <w:rStyle w:val="Hyperlink"/>
            <w:rFonts w:cs="Arial"/>
            <w:color w:val="auto"/>
            <w:szCs w:val="20"/>
            <w:lang w:val="en-US"/>
          </w:rPr>
          <w:t>World Wide Web Access: Disability Discrimination Act Advisory Notes</w:t>
        </w:r>
      </w:hyperlink>
    </w:p>
    <w:p w:rsidR="00425DAB" w:rsidRDefault="001D6FD7" w:rsidP="00425DAB">
      <w:pPr>
        <w:numPr>
          <w:ilvl w:val="0"/>
          <w:numId w:val="7"/>
        </w:numPr>
        <w:ind w:left="426"/>
        <w:rPr>
          <w:rStyle w:val="Hyperlink"/>
          <w:rFonts w:cs="Arial"/>
          <w:color w:val="auto"/>
          <w:szCs w:val="20"/>
          <w:u w:val="none"/>
        </w:rPr>
      </w:pPr>
      <w:hyperlink r:id="rId24" w:history="1">
        <w:r w:rsidR="00165722" w:rsidRPr="002A0A62">
          <w:rPr>
            <w:rStyle w:val="Hyperlink"/>
            <w:rFonts w:cs="Arial"/>
            <w:color w:val="auto"/>
            <w:szCs w:val="20"/>
          </w:rPr>
          <w:t>Web Content Accessibility Guidelines WC3</w:t>
        </w:r>
      </w:hyperlink>
    </w:p>
    <w:p w:rsidR="00425DAB" w:rsidRPr="00425DAB" w:rsidRDefault="001D6FD7" w:rsidP="00425DAB">
      <w:pPr>
        <w:numPr>
          <w:ilvl w:val="0"/>
          <w:numId w:val="7"/>
        </w:numPr>
        <w:ind w:left="426"/>
        <w:rPr>
          <w:rFonts w:cs="Arial"/>
          <w:szCs w:val="20"/>
        </w:rPr>
      </w:pPr>
      <w:hyperlink r:id="rId25" w:history="1">
        <w:r w:rsidR="00F4773F" w:rsidRPr="00425DAB">
          <w:rPr>
            <w:rStyle w:val="Hyperlink"/>
            <w:rFonts w:cs="Arial"/>
            <w:i/>
            <w:color w:val="auto"/>
            <w:szCs w:val="20"/>
          </w:rPr>
          <w:t>Australian Vice-Chancellors’ Committee (AVCC) Guidelines relating to Students with a Disability, 2006</w:t>
        </w:r>
      </w:hyperlink>
    </w:p>
    <w:p w:rsidR="00E816E7" w:rsidRPr="00425DAB" w:rsidRDefault="001D6FD7" w:rsidP="00425DAB">
      <w:pPr>
        <w:numPr>
          <w:ilvl w:val="0"/>
          <w:numId w:val="7"/>
        </w:numPr>
        <w:ind w:left="426"/>
        <w:rPr>
          <w:rFonts w:cs="Arial"/>
          <w:szCs w:val="20"/>
        </w:rPr>
      </w:pPr>
      <w:hyperlink r:id="rId26" w:history="1">
        <w:r w:rsidR="00165722" w:rsidRPr="00425DAB">
          <w:rPr>
            <w:rStyle w:val="Hyperlink"/>
            <w:rFonts w:cs="Arial"/>
            <w:bCs/>
            <w:i/>
            <w:color w:val="auto"/>
            <w:szCs w:val="20"/>
          </w:rPr>
          <w:t>Australian Vice-Chancellors Committee (AVCC) Guidelines on information access for students with print disabilities, 2004</w:t>
        </w:r>
      </w:hyperlink>
      <w:bookmarkStart w:id="57" w:name="StartHere"/>
      <w:bookmarkEnd w:id="57"/>
    </w:p>
    <w:sectPr w:rsidR="00E816E7" w:rsidRPr="00425DAB" w:rsidSect="00E7587E">
      <w:headerReference w:type="default" r:id="rId27"/>
      <w:footerReference w:type="even" r:id="rId28"/>
      <w:footerReference w:type="default" r:id="rId29"/>
      <w:headerReference w:type="first" r:id="rId30"/>
      <w:pgSz w:w="11906" w:h="16838" w:code="9"/>
      <w:pgMar w:top="1440" w:right="849"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E2D" w:rsidRDefault="00E81E2D" w:rsidP="003060D5">
      <w:r>
        <w:separator/>
      </w:r>
    </w:p>
  </w:endnote>
  <w:endnote w:type="continuationSeparator" w:id="0">
    <w:p w:rsidR="00E81E2D" w:rsidRDefault="00E81E2D"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6" w:rsidRDefault="004A2066" w:rsidP="00317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2066" w:rsidRDefault="004A2066" w:rsidP="00E758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6" w:rsidRDefault="004A2066" w:rsidP="00317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6FD7">
      <w:rPr>
        <w:rStyle w:val="PageNumber"/>
        <w:noProof/>
      </w:rPr>
      <w:t>2</w:t>
    </w:r>
    <w:r>
      <w:rPr>
        <w:rStyle w:val="PageNumber"/>
      </w:rPr>
      <w:fldChar w:fldCharType="end"/>
    </w:r>
  </w:p>
  <w:p w:rsidR="004A2066" w:rsidRPr="00AF2951" w:rsidRDefault="004A2066" w:rsidP="00E7587E">
    <w:pPr>
      <w:pStyle w:val="Footer"/>
      <w:tabs>
        <w:tab w:val="clear" w:pos="4513"/>
        <w:tab w:val="clear" w:pos="9026"/>
        <w:tab w:val="left" w:pos="4253"/>
        <w:tab w:val="right" w:pos="9923"/>
      </w:tabs>
      <w:ind w:right="360"/>
      <w:rPr>
        <w:szCs w:val="18"/>
      </w:rPr>
    </w:pPr>
    <w:r w:rsidRPr="00AF2951">
      <w:rPr>
        <w:szCs w:val="18"/>
      </w:rPr>
      <w:t>DAP Development Group</w:t>
    </w:r>
    <w:r w:rsidRPr="00AF2951">
      <w:rPr>
        <w:szCs w:val="18"/>
      </w:rPr>
      <w:tab/>
      <w:t xml:space="preserve">Page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E2D" w:rsidRDefault="00E81E2D" w:rsidP="003060D5">
      <w:r>
        <w:separator/>
      </w:r>
    </w:p>
  </w:footnote>
  <w:footnote w:type="continuationSeparator" w:id="0">
    <w:p w:rsidR="00E81E2D" w:rsidRDefault="00E81E2D" w:rsidP="003060D5">
      <w:r>
        <w:continuationSeparator/>
      </w:r>
    </w:p>
  </w:footnote>
  <w:footnote w:id="1">
    <w:p w:rsidR="004A2066" w:rsidRPr="00F8359D" w:rsidRDefault="004A2066" w:rsidP="00165722">
      <w:pPr>
        <w:pStyle w:val="FootnoteText"/>
        <w:rPr>
          <w:lang w:val="en-US"/>
        </w:rPr>
      </w:pPr>
      <w:r>
        <w:rPr>
          <w:rStyle w:val="FootnoteReference"/>
        </w:rPr>
        <w:footnoteRef/>
      </w:r>
      <w:r>
        <w:t xml:space="preserve"> </w:t>
      </w:r>
      <w:proofErr w:type="gramStart"/>
      <w:r w:rsidRPr="002F2CA9">
        <w:rPr>
          <w:rFonts w:ascii="Arial Narrow" w:hAnsi="Arial Narrow"/>
          <w:sz w:val="22"/>
          <w:szCs w:val="22"/>
        </w:rPr>
        <w:t>Faculty of Health Sciences, University of Sydney</w:t>
      </w:r>
      <w:r>
        <w:rPr>
          <w:rFonts w:ascii="Arial Narrow" w:hAnsi="Arial Narrow"/>
          <w:sz w:val="22"/>
          <w:szCs w:val="22"/>
        </w:rPr>
        <w:t xml:space="preserve"> (</w:t>
      </w:r>
      <w:r w:rsidRPr="002F2CA9">
        <w:rPr>
          <w:rFonts w:ascii="Arial Narrow" w:hAnsi="Arial Narrow"/>
          <w:sz w:val="22"/>
          <w:szCs w:val="22"/>
        </w:rPr>
        <w:t>2011</w:t>
      </w:r>
      <w:r>
        <w:rPr>
          <w:rFonts w:ascii="Arial Narrow" w:hAnsi="Arial Narrow"/>
          <w:sz w:val="22"/>
          <w:szCs w:val="22"/>
        </w:rPr>
        <w:t>).</w:t>
      </w:r>
      <w:proofErr w:type="gramEnd"/>
      <w:r>
        <w:t xml:space="preserve"> </w:t>
      </w:r>
      <w:r w:rsidRPr="005871F1">
        <w:rPr>
          <w:rFonts w:ascii="Arial Narrow" w:hAnsi="Arial Narrow"/>
          <w:i/>
          <w:iCs/>
          <w:sz w:val="22"/>
          <w:szCs w:val="22"/>
        </w:rPr>
        <w:t>LEFT BEHIND: Monitoring the social inclusion of young Australians with self-reported long term health conditions, impairments or disabilities 2001–2009</w:t>
      </w:r>
      <w:r>
        <w:rPr>
          <w:rFonts w:ascii="Arial Narrow" w:hAnsi="Arial Narrow"/>
          <w:i/>
          <w:iCs/>
          <w:sz w:val="22"/>
          <w:szCs w:val="22"/>
        </w:rPr>
        <w:t xml:space="preserve"> </w:t>
      </w:r>
      <w:r w:rsidRPr="00A37FC4">
        <w:rPr>
          <w:rStyle w:val="Emphasis"/>
          <w:rFonts w:ascii="Arial Narrow" w:hAnsi="Arial Narrow"/>
          <w:i w:val="0"/>
          <w:sz w:val="22"/>
          <w:szCs w:val="22"/>
        </w:rPr>
        <w:t>(2011)</w:t>
      </w:r>
      <w:r w:rsidRPr="005871F1">
        <w:rPr>
          <w:rFonts w:ascii="Arial Narrow" w:hAnsi="Arial Narrow"/>
          <w:i/>
          <w:iCs/>
          <w:sz w:val="22"/>
          <w:szCs w:val="22"/>
        </w:rPr>
        <w:t xml:space="preserve">. </w:t>
      </w:r>
      <w:r w:rsidRPr="005871F1">
        <w:rPr>
          <w:rFonts w:ascii="Arial Narrow" w:hAnsi="Arial Narrow"/>
          <w:iCs/>
          <w:sz w:val="22"/>
          <w:szCs w:val="22"/>
        </w:rPr>
        <w:t xml:space="preserve">Available from </w:t>
      </w:r>
      <w:hyperlink r:id="rId1" w:history="1">
        <w:r w:rsidRPr="00A672DD">
          <w:rPr>
            <w:rStyle w:val="Hyperlink"/>
            <w:rFonts w:ascii="Arial Narrow" w:hAnsi="Arial Narrow"/>
            <w:iCs/>
            <w:sz w:val="22"/>
            <w:szCs w:val="22"/>
          </w:rPr>
          <w:t>www.</w:t>
        </w:r>
        <w:r w:rsidRPr="00A672DD">
          <w:rPr>
            <w:rStyle w:val="Hyperlink"/>
            <w:rFonts w:ascii="Arial Narrow" w:hAnsi="Arial Narrow"/>
            <w:sz w:val="22"/>
            <w:szCs w:val="22"/>
          </w:rPr>
          <w:t>sydney.edu.au/health-sciences/cdrp/publications</w:t>
        </w:r>
      </w:hyperlink>
      <w:r>
        <w:rPr>
          <w:rFonts w:ascii="Arial Narrow" w:hAnsi="Arial Narrow"/>
          <w:sz w:val="22"/>
          <w:szCs w:val="22"/>
        </w:rPr>
        <w:t xml:space="preserve"> </w:t>
      </w:r>
    </w:p>
  </w:footnote>
  <w:footnote w:id="2">
    <w:p w:rsidR="004A2066" w:rsidRPr="00F8359D" w:rsidRDefault="004A2066" w:rsidP="00165722">
      <w:pPr>
        <w:pStyle w:val="FootnoteText"/>
        <w:rPr>
          <w:lang w:val="en-US"/>
        </w:rPr>
      </w:pPr>
      <w:r>
        <w:rPr>
          <w:rStyle w:val="FootnoteReference"/>
        </w:rPr>
        <w:footnoteRef/>
      </w:r>
      <w:r>
        <w:t xml:space="preserve"> </w:t>
      </w:r>
      <w:r w:rsidRPr="005871F1">
        <w:rPr>
          <w:rFonts w:ascii="Arial Narrow" w:hAnsi="Arial Narrow"/>
          <w:sz w:val="22"/>
          <w:szCs w:val="22"/>
          <w:lang w:val="en-US"/>
        </w:rPr>
        <w:t>United Nations</w:t>
      </w:r>
      <w:r>
        <w:rPr>
          <w:rFonts w:ascii="Arial Narrow" w:hAnsi="Arial Narrow"/>
          <w:sz w:val="22"/>
          <w:szCs w:val="22"/>
          <w:lang w:val="en-US"/>
        </w:rPr>
        <w:t xml:space="preserve"> (2008)</w:t>
      </w:r>
      <w:r w:rsidRPr="005871F1">
        <w:rPr>
          <w:rFonts w:ascii="Arial Narrow" w:hAnsi="Arial Narrow"/>
          <w:sz w:val="22"/>
          <w:szCs w:val="22"/>
          <w:lang w:val="en-US"/>
        </w:rPr>
        <w:t xml:space="preserve">. </w:t>
      </w:r>
      <w:proofErr w:type="gramStart"/>
      <w:r w:rsidRPr="005871F1">
        <w:rPr>
          <w:rFonts w:ascii="Arial Narrow" w:hAnsi="Arial Narrow"/>
          <w:i/>
          <w:sz w:val="22"/>
          <w:szCs w:val="22"/>
          <w:lang w:val="en-US"/>
        </w:rPr>
        <w:t>Convention on the Rights of Persons with Disabil</w:t>
      </w:r>
      <w:r>
        <w:rPr>
          <w:rFonts w:ascii="Arial Narrow" w:hAnsi="Arial Narrow"/>
          <w:i/>
          <w:sz w:val="22"/>
          <w:szCs w:val="22"/>
          <w:lang w:val="en-US"/>
        </w:rPr>
        <w:t>i</w:t>
      </w:r>
      <w:r w:rsidRPr="005871F1">
        <w:rPr>
          <w:rFonts w:ascii="Arial Narrow" w:hAnsi="Arial Narrow"/>
          <w:i/>
          <w:sz w:val="22"/>
          <w:szCs w:val="22"/>
          <w:lang w:val="en-US"/>
        </w:rPr>
        <w:t>ties</w:t>
      </w:r>
      <w:r>
        <w:rPr>
          <w:rFonts w:ascii="Arial Narrow" w:hAnsi="Arial Narrow"/>
          <w:i/>
          <w:sz w:val="22"/>
          <w:szCs w:val="22"/>
          <w:lang w:val="en-US"/>
        </w:rPr>
        <w:t>.</w:t>
      </w:r>
      <w:proofErr w:type="gramEnd"/>
      <w:r>
        <w:rPr>
          <w:rFonts w:ascii="Arial Narrow" w:hAnsi="Arial Narrow"/>
          <w:i/>
          <w:sz w:val="22"/>
          <w:szCs w:val="22"/>
          <w:lang w:val="en-US"/>
        </w:rPr>
        <w:t xml:space="preserve"> </w:t>
      </w:r>
      <w:r w:rsidRPr="005871F1">
        <w:rPr>
          <w:rFonts w:ascii="Arial Narrow" w:hAnsi="Arial Narrow"/>
          <w:sz w:val="22"/>
          <w:szCs w:val="22"/>
          <w:lang w:val="en-US"/>
        </w:rPr>
        <w:t xml:space="preserve">Available from </w:t>
      </w:r>
      <w:hyperlink r:id="rId2" w:history="1">
        <w:r w:rsidRPr="00A672DD">
          <w:rPr>
            <w:rStyle w:val="Hyperlink"/>
            <w:rFonts w:ascii="Arial Narrow" w:hAnsi="Arial Narrow"/>
            <w:sz w:val="22"/>
            <w:szCs w:val="22"/>
            <w:lang w:val="en-US"/>
          </w:rPr>
          <w:t>www.un.org/disabilities/default.asp?id=150</w:t>
        </w:r>
      </w:hyperlink>
      <w:r>
        <w:rPr>
          <w:rFonts w:ascii="Arial Narrow" w:hAnsi="Arial Narrow"/>
          <w:sz w:val="22"/>
          <w:szCs w:val="22"/>
          <w:lang w:val="en-US"/>
        </w:rPr>
        <w:t xml:space="preserve"> </w:t>
      </w:r>
    </w:p>
  </w:footnote>
  <w:footnote w:id="3">
    <w:p w:rsidR="004A2066" w:rsidRPr="000336E4" w:rsidRDefault="004A2066" w:rsidP="00165722">
      <w:pPr>
        <w:pStyle w:val="EndnoteText"/>
        <w:rPr>
          <w:rFonts w:ascii="Arial Narrow" w:hAnsi="Arial Narrow"/>
          <w:sz w:val="22"/>
          <w:szCs w:val="22"/>
          <w:lang w:val="en-US"/>
        </w:rPr>
      </w:pPr>
      <w:r>
        <w:rPr>
          <w:rStyle w:val="FootnoteReference"/>
        </w:rPr>
        <w:footnoteRef/>
      </w:r>
      <w:r>
        <w:t xml:space="preserve"> </w:t>
      </w:r>
      <w:proofErr w:type="gramStart"/>
      <w:r w:rsidRPr="005871F1">
        <w:rPr>
          <w:rFonts w:ascii="Arial Narrow" w:hAnsi="Arial Narrow"/>
          <w:sz w:val="22"/>
          <w:szCs w:val="22"/>
          <w:lang w:val="en-US"/>
        </w:rPr>
        <w:t>World Health Organi</w:t>
      </w:r>
      <w:r>
        <w:rPr>
          <w:rFonts w:ascii="Arial Narrow" w:hAnsi="Arial Narrow"/>
          <w:sz w:val="22"/>
          <w:szCs w:val="22"/>
          <w:lang w:val="en-US"/>
        </w:rPr>
        <w:t>z</w:t>
      </w:r>
      <w:r w:rsidRPr="005871F1">
        <w:rPr>
          <w:rFonts w:ascii="Arial Narrow" w:hAnsi="Arial Narrow"/>
          <w:sz w:val="22"/>
          <w:szCs w:val="22"/>
          <w:lang w:val="en-US"/>
        </w:rPr>
        <w:t>ation (2011).</w:t>
      </w:r>
      <w:proofErr w:type="gramEnd"/>
      <w:r w:rsidRPr="005871F1">
        <w:rPr>
          <w:rFonts w:ascii="Arial Narrow" w:hAnsi="Arial Narrow"/>
          <w:sz w:val="22"/>
          <w:szCs w:val="22"/>
          <w:lang w:val="en-US"/>
        </w:rPr>
        <w:t xml:space="preserve"> </w:t>
      </w:r>
      <w:proofErr w:type="gramStart"/>
      <w:r w:rsidRPr="005871F1">
        <w:rPr>
          <w:rFonts w:ascii="Arial Narrow" w:hAnsi="Arial Narrow"/>
          <w:i/>
          <w:sz w:val="22"/>
          <w:szCs w:val="22"/>
          <w:lang w:val="en-US"/>
        </w:rPr>
        <w:t>World report on disability</w:t>
      </w:r>
      <w:r w:rsidRPr="005871F1">
        <w:rPr>
          <w:rFonts w:ascii="Arial Narrow" w:hAnsi="Arial Narrow"/>
          <w:sz w:val="22"/>
          <w:szCs w:val="22"/>
          <w:lang w:val="en-US"/>
        </w:rPr>
        <w:t>.</w:t>
      </w:r>
      <w:proofErr w:type="gramEnd"/>
      <w:r w:rsidRPr="005871F1">
        <w:rPr>
          <w:rFonts w:ascii="Arial Narrow" w:hAnsi="Arial Narrow"/>
          <w:sz w:val="22"/>
          <w:szCs w:val="22"/>
          <w:lang w:val="en-US"/>
        </w:rPr>
        <w:t xml:space="preserve"> Page 3. Geneva, Switzerland. Available </w:t>
      </w:r>
      <w:r>
        <w:rPr>
          <w:rFonts w:ascii="Arial Narrow" w:hAnsi="Arial Narrow"/>
          <w:sz w:val="22"/>
          <w:szCs w:val="22"/>
          <w:lang w:val="en-US"/>
        </w:rPr>
        <w:t>from</w:t>
      </w:r>
      <w:r w:rsidRPr="005871F1">
        <w:rPr>
          <w:rFonts w:ascii="Arial Narrow" w:hAnsi="Arial Narrow"/>
          <w:sz w:val="22"/>
          <w:szCs w:val="22"/>
          <w:lang w:val="en-US"/>
        </w:rPr>
        <w:t xml:space="preserve"> www.who.int/disabilities/world_report/2011/en/index.html</w:t>
      </w:r>
    </w:p>
  </w:footnote>
  <w:footnote w:id="4">
    <w:p w:rsidR="004A2066" w:rsidRPr="000336E4" w:rsidRDefault="004A2066" w:rsidP="005838BE">
      <w:pPr>
        <w:rPr>
          <w:rFonts w:ascii="Arial Narrow" w:hAnsi="Arial Narrow"/>
          <w:sz w:val="22"/>
          <w:szCs w:val="22"/>
          <w:lang w:val="en-US"/>
        </w:rPr>
      </w:pPr>
      <w:r>
        <w:rPr>
          <w:rStyle w:val="FootnoteReference"/>
        </w:rPr>
        <w:footnoteRef/>
      </w:r>
      <w:r>
        <w:t xml:space="preserve"> </w:t>
      </w:r>
      <w:proofErr w:type="gramStart"/>
      <w:r w:rsidRPr="005871F1">
        <w:rPr>
          <w:rFonts w:ascii="Arial Narrow" w:hAnsi="Arial Narrow"/>
          <w:sz w:val="22"/>
          <w:szCs w:val="22"/>
        </w:rPr>
        <w:t>World Health Organi</w:t>
      </w:r>
      <w:r>
        <w:rPr>
          <w:rFonts w:ascii="Arial Narrow" w:hAnsi="Arial Narrow"/>
          <w:sz w:val="22"/>
          <w:szCs w:val="22"/>
        </w:rPr>
        <w:t>z</w:t>
      </w:r>
      <w:r w:rsidRPr="005871F1">
        <w:rPr>
          <w:rFonts w:ascii="Arial Narrow" w:hAnsi="Arial Narrow"/>
          <w:sz w:val="22"/>
          <w:szCs w:val="22"/>
        </w:rPr>
        <w:t>ation (2012</w:t>
      </w:r>
      <w:r w:rsidRPr="00493D8A">
        <w:rPr>
          <w:rFonts w:ascii="Arial Narrow" w:hAnsi="Arial Narrow"/>
          <w:sz w:val="22"/>
          <w:szCs w:val="22"/>
        </w:rPr>
        <w:t>)</w:t>
      </w:r>
      <w:r w:rsidRPr="005871F1">
        <w:rPr>
          <w:rFonts w:ascii="Arial Narrow" w:hAnsi="Arial Narrow"/>
          <w:i/>
          <w:sz w:val="22"/>
          <w:szCs w:val="22"/>
        </w:rPr>
        <w:t>.</w:t>
      </w:r>
      <w:proofErr w:type="gramEnd"/>
      <w:r w:rsidRPr="005871F1">
        <w:rPr>
          <w:rFonts w:ascii="Arial Narrow" w:hAnsi="Arial Narrow"/>
          <w:i/>
          <w:sz w:val="22"/>
          <w:szCs w:val="22"/>
        </w:rPr>
        <w:t xml:space="preserve"> </w:t>
      </w:r>
      <w:r w:rsidRPr="00493D8A">
        <w:rPr>
          <w:rFonts w:ascii="Arial Narrow" w:hAnsi="Arial Narrow"/>
          <w:i/>
          <w:sz w:val="22"/>
          <w:szCs w:val="22"/>
          <w:shd w:val="clear" w:color="auto" w:fill="FFFFFF"/>
        </w:rPr>
        <w:t>Fact sheet N</w:t>
      </w:r>
      <w:r>
        <w:rPr>
          <w:rFonts w:ascii="Arial Narrow" w:hAnsi="Arial Narrow"/>
          <w:i/>
          <w:sz w:val="22"/>
          <w:szCs w:val="22"/>
          <w:shd w:val="clear" w:color="auto" w:fill="FFFFFF"/>
        </w:rPr>
        <w:t xml:space="preserve">o. </w:t>
      </w:r>
      <w:r w:rsidRPr="00493D8A">
        <w:rPr>
          <w:rFonts w:ascii="Arial Narrow" w:hAnsi="Arial Narrow"/>
          <w:i/>
          <w:sz w:val="22"/>
          <w:szCs w:val="22"/>
          <w:shd w:val="clear" w:color="auto" w:fill="FFFFFF"/>
        </w:rPr>
        <w:t>352</w:t>
      </w:r>
      <w:r w:rsidRPr="00493D8A">
        <w:rPr>
          <w:rFonts w:ascii="Arial Narrow" w:hAnsi="Arial Narrow"/>
          <w:sz w:val="22"/>
          <w:szCs w:val="22"/>
          <w:shd w:val="clear" w:color="auto" w:fill="FFFFFF"/>
        </w:rPr>
        <w:t xml:space="preserve">. Geneva, Switzerland. Available from </w:t>
      </w:r>
      <w:r w:rsidRPr="005871F1">
        <w:rPr>
          <w:rFonts w:ascii="Arial Narrow" w:hAnsi="Arial Narrow"/>
          <w:sz w:val="22"/>
          <w:szCs w:val="22"/>
        </w:rPr>
        <w:t>www.who.int/mediacentre/factsheets/fs352/en/index.html</w:t>
      </w:r>
    </w:p>
  </w:footnote>
  <w:footnote w:id="5">
    <w:p w:rsidR="004A2066" w:rsidRPr="000336E4" w:rsidRDefault="004A2066" w:rsidP="00165722">
      <w:pPr>
        <w:pStyle w:val="FootnoteText"/>
        <w:rPr>
          <w:lang w:val="en-US"/>
        </w:rPr>
      </w:pPr>
      <w:r>
        <w:rPr>
          <w:rStyle w:val="FootnoteReference"/>
        </w:rPr>
        <w:footnoteRef/>
      </w:r>
      <w:r>
        <w:t xml:space="preserve"> </w:t>
      </w:r>
      <w:proofErr w:type="gramStart"/>
      <w:r w:rsidRPr="00493D8A">
        <w:rPr>
          <w:rFonts w:ascii="Arial Narrow" w:hAnsi="Arial Narrow" w:cs="Arial"/>
          <w:sz w:val="22"/>
          <w:szCs w:val="22"/>
        </w:rPr>
        <w:t>Australian Bureau of Statistics</w:t>
      </w:r>
      <w:r w:rsidRPr="005871F1">
        <w:rPr>
          <w:rFonts w:ascii="Arial Narrow" w:hAnsi="Arial Narrow" w:cs="Arial"/>
          <w:i/>
          <w:sz w:val="22"/>
          <w:szCs w:val="22"/>
        </w:rPr>
        <w:t xml:space="preserve"> </w:t>
      </w:r>
      <w:r>
        <w:rPr>
          <w:rFonts w:ascii="Arial Narrow" w:hAnsi="Arial Narrow" w:cs="Arial"/>
          <w:sz w:val="22"/>
          <w:szCs w:val="22"/>
        </w:rPr>
        <w:t>(2009).</w:t>
      </w:r>
      <w:proofErr w:type="gramEnd"/>
      <w:r>
        <w:rPr>
          <w:rFonts w:ascii="Arial Narrow" w:hAnsi="Arial Narrow" w:cs="Arial"/>
          <w:sz w:val="22"/>
          <w:szCs w:val="22"/>
        </w:rPr>
        <w:t xml:space="preserve"> </w:t>
      </w:r>
      <w:proofErr w:type="gramStart"/>
      <w:r w:rsidRPr="005871F1">
        <w:rPr>
          <w:rFonts w:ascii="Arial Narrow" w:hAnsi="Arial Narrow" w:cs="Arial"/>
          <w:i/>
          <w:sz w:val="22"/>
          <w:szCs w:val="22"/>
        </w:rPr>
        <w:t>Disability, Ageing and Carers</w:t>
      </w:r>
      <w:r w:rsidRPr="005871F1">
        <w:rPr>
          <w:rFonts w:ascii="Arial Narrow" w:hAnsi="Arial Narrow" w:cs="Arial"/>
          <w:bCs/>
          <w:i/>
          <w:sz w:val="22"/>
          <w:szCs w:val="22"/>
        </w:rPr>
        <w:t xml:space="preserve"> 2009.</w:t>
      </w:r>
      <w:proofErr w:type="gramEnd"/>
      <w:r w:rsidRPr="005871F1">
        <w:rPr>
          <w:rFonts w:ascii="Arial Narrow" w:hAnsi="Arial Narrow" w:cs="Arial"/>
          <w:bCs/>
          <w:i/>
          <w:sz w:val="22"/>
          <w:szCs w:val="22"/>
        </w:rPr>
        <w:t xml:space="preserve"> </w:t>
      </w:r>
      <w:r w:rsidRPr="005871F1">
        <w:rPr>
          <w:rFonts w:ascii="Arial Narrow" w:hAnsi="Arial Narrow" w:cs="Arial"/>
          <w:bCs/>
          <w:sz w:val="22"/>
          <w:szCs w:val="22"/>
        </w:rPr>
        <w:t>Available from www.abs.gov.au/AUSSTATS/abs@.nsf/DetailsPage/4430.02009?OpenDocument</w:t>
      </w:r>
    </w:p>
  </w:footnote>
  <w:footnote w:id="6">
    <w:p w:rsidR="004A2066" w:rsidRPr="000336E4" w:rsidRDefault="004A2066" w:rsidP="00165722">
      <w:pPr>
        <w:pStyle w:val="EndnoteText"/>
        <w:rPr>
          <w:rFonts w:ascii="Arial Narrow" w:hAnsi="Arial Narrow"/>
          <w:sz w:val="22"/>
          <w:szCs w:val="22"/>
          <w:lang w:val="en-US"/>
        </w:rPr>
      </w:pPr>
      <w:r>
        <w:rPr>
          <w:rStyle w:val="FootnoteReference"/>
        </w:rPr>
        <w:footnoteRef/>
      </w:r>
      <w:r>
        <w:t xml:space="preserve"> </w:t>
      </w:r>
      <w:proofErr w:type="gramStart"/>
      <w:r w:rsidRPr="005871F1">
        <w:rPr>
          <w:rFonts w:ascii="Arial Narrow" w:hAnsi="Arial Narrow"/>
          <w:sz w:val="22"/>
          <w:szCs w:val="22"/>
          <w:lang w:val="en-US"/>
        </w:rPr>
        <w:t>Australian Network on Disability (2013).</w:t>
      </w:r>
      <w:proofErr w:type="gramEnd"/>
      <w:r w:rsidRPr="005871F1">
        <w:rPr>
          <w:rFonts w:ascii="Arial Narrow" w:hAnsi="Arial Narrow"/>
          <w:sz w:val="22"/>
          <w:szCs w:val="22"/>
          <w:lang w:val="en-US"/>
        </w:rPr>
        <w:t xml:space="preserve"> </w:t>
      </w:r>
      <w:r w:rsidRPr="005871F1">
        <w:rPr>
          <w:rFonts w:ascii="Arial Narrow" w:hAnsi="Arial Narrow"/>
          <w:i/>
          <w:sz w:val="22"/>
          <w:szCs w:val="22"/>
          <w:lang w:val="en-US"/>
        </w:rPr>
        <w:t>Disability Statistics</w:t>
      </w:r>
      <w:r w:rsidRPr="005871F1">
        <w:rPr>
          <w:rFonts w:ascii="Arial Narrow" w:hAnsi="Arial Narrow"/>
          <w:sz w:val="22"/>
          <w:szCs w:val="22"/>
          <w:lang w:val="en-US"/>
        </w:rPr>
        <w:t>. Available from www.and.org.au/pages/disability-statistics.html</w:t>
      </w:r>
    </w:p>
  </w:footnote>
  <w:footnote w:id="7">
    <w:p w:rsidR="004A2066" w:rsidRPr="000336E4" w:rsidRDefault="004A2066" w:rsidP="00165722">
      <w:pPr>
        <w:pStyle w:val="FootnoteText"/>
        <w:rPr>
          <w:lang w:val="en-US"/>
        </w:rPr>
      </w:pPr>
      <w:r>
        <w:rPr>
          <w:rStyle w:val="FootnoteReference"/>
        </w:rPr>
        <w:footnoteRef/>
      </w:r>
      <w:r>
        <w:t xml:space="preserve"> </w:t>
      </w:r>
      <w:proofErr w:type="gramStart"/>
      <w:r w:rsidRPr="00493D8A">
        <w:rPr>
          <w:rFonts w:ascii="Arial Narrow" w:hAnsi="Arial Narrow" w:cs="Arial"/>
          <w:sz w:val="22"/>
          <w:szCs w:val="22"/>
        </w:rPr>
        <w:t>Australian Bureau of Statistics</w:t>
      </w:r>
      <w:r w:rsidRPr="005871F1">
        <w:rPr>
          <w:rFonts w:ascii="Arial Narrow" w:hAnsi="Arial Narrow" w:cs="Arial"/>
          <w:i/>
          <w:sz w:val="22"/>
          <w:szCs w:val="22"/>
        </w:rPr>
        <w:t xml:space="preserve"> </w:t>
      </w:r>
      <w:r>
        <w:rPr>
          <w:rFonts w:ascii="Arial Narrow" w:hAnsi="Arial Narrow" w:cs="Arial"/>
          <w:sz w:val="22"/>
          <w:szCs w:val="22"/>
        </w:rPr>
        <w:t>(2009).</w:t>
      </w:r>
      <w:proofErr w:type="gramEnd"/>
      <w:r>
        <w:rPr>
          <w:rFonts w:ascii="Arial Narrow" w:hAnsi="Arial Narrow" w:cs="Arial"/>
          <w:sz w:val="22"/>
          <w:szCs w:val="22"/>
        </w:rPr>
        <w:t xml:space="preserve"> </w:t>
      </w:r>
      <w:proofErr w:type="gramStart"/>
      <w:r w:rsidRPr="005871F1">
        <w:rPr>
          <w:rFonts w:ascii="Arial Narrow" w:hAnsi="Arial Narrow" w:cs="Arial"/>
          <w:i/>
          <w:sz w:val="22"/>
          <w:szCs w:val="22"/>
        </w:rPr>
        <w:t>Disability, Ageing and Carers</w:t>
      </w:r>
      <w:r w:rsidRPr="005871F1">
        <w:rPr>
          <w:rFonts w:ascii="Arial Narrow" w:hAnsi="Arial Narrow" w:cs="Arial"/>
          <w:bCs/>
          <w:i/>
          <w:sz w:val="22"/>
          <w:szCs w:val="22"/>
        </w:rPr>
        <w:t xml:space="preserve"> 2009.</w:t>
      </w:r>
      <w:proofErr w:type="gramEnd"/>
      <w:r w:rsidRPr="005871F1">
        <w:rPr>
          <w:rFonts w:ascii="Arial Narrow" w:hAnsi="Arial Narrow" w:cs="Arial"/>
          <w:bCs/>
          <w:i/>
          <w:sz w:val="22"/>
          <w:szCs w:val="22"/>
        </w:rPr>
        <w:t xml:space="preserve"> </w:t>
      </w:r>
      <w:r w:rsidRPr="005871F1">
        <w:rPr>
          <w:rFonts w:ascii="Arial Narrow" w:hAnsi="Arial Narrow" w:cs="Arial"/>
          <w:bCs/>
          <w:sz w:val="22"/>
          <w:szCs w:val="22"/>
        </w:rPr>
        <w:t>Available from www.abs.gov.au/AUSSTATS/abs@.nsf/DetailsPage/4430.02009?OpenDocument</w:t>
      </w:r>
    </w:p>
  </w:footnote>
  <w:footnote w:id="8">
    <w:p w:rsidR="004A2066" w:rsidRPr="000336E4" w:rsidRDefault="004A2066" w:rsidP="00165722">
      <w:pPr>
        <w:pStyle w:val="FootnoteText"/>
        <w:rPr>
          <w:lang w:val="en-US"/>
        </w:rPr>
      </w:pPr>
      <w:r>
        <w:rPr>
          <w:rStyle w:val="FootnoteReference"/>
        </w:rPr>
        <w:footnoteRef/>
      </w:r>
      <w:r>
        <w:t xml:space="preserve"> </w:t>
      </w:r>
      <w:proofErr w:type="gramStart"/>
      <w:r w:rsidRPr="002F2CA9">
        <w:rPr>
          <w:rFonts w:ascii="Arial Narrow" w:hAnsi="Arial Narrow"/>
          <w:sz w:val="22"/>
          <w:szCs w:val="22"/>
        </w:rPr>
        <w:t>Faculty of Health Sciences, University of Sydney</w:t>
      </w:r>
      <w:r>
        <w:rPr>
          <w:rFonts w:ascii="Arial Narrow" w:hAnsi="Arial Narrow"/>
          <w:sz w:val="22"/>
          <w:szCs w:val="22"/>
        </w:rPr>
        <w:t xml:space="preserve"> (</w:t>
      </w:r>
      <w:r w:rsidRPr="002F2CA9">
        <w:rPr>
          <w:rFonts w:ascii="Arial Narrow" w:hAnsi="Arial Narrow"/>
          <w:sz w:val="22"/>
          <w:szCs w:val="22"/>
        </w:rPr>
        <w:t>2011</w:t>
      </w:r>
      <w:r>
        <w:rPr>
          <w:rFonts w:ascii="Arial Narrow" w:hAnsi="Arial Narrow"/>
          <w:sz w:val="22"/>
          <w:szCs w:val="22"/>
        </w:rPr>
        <w:t>).</w:t>
      </w:r>
      <w:proofErr w:type="gramEnd"/>
      <w:r>
        <w:t xml:space="preserve"> </w:t>
      </w:r>
      <w:r w:rsidRPr="005871F1">
        <w:rPr>
          <w:rFonts w:ascii="Arial Narrow" w:hAnsi="Arial Narrow"/>
          <w:i/>
          <w:iCs/>
          <w:sz w:val="22"/>
          <w:szCs w:val="22"/>
        </w:rPr>
        <w:t>LEFT BEHIND: Monitoring the social inclusion of young Australians with self-reported long term health conditions, imp</w:t>
      </w:r>
      <w:r>
        <w:rPr>
          <w:rFonts w:ascii="Arial Narrow" w:hAnsi="Arial Narrow"/>
          <w:i/>
          <w:iCs/>
          <w:sz w:val="22"/>
          <w:szCs w:val="22"/>
        </w:rPr>
        <w:t>airments or disabilities 2001–</w:t>
      </w:r>
      <w:r w:rsidRPr="005871F1">
        <w:rPr>
          <w:rFonts w:ascii="Arial Narrow" w:hAnsi="Arial Narrow"/>
          <w:i/>
          <w:iCs/>
          <w:sz w:val="22"/>
          <w:szCs w:val="22"/>
        </w:rPr>
        <w:t xml:space="preserve">2009. </w:t>
      </w:r>
      <w:r w:rsidRPr="005871F1">
        <w:rPr>
          <w:rFonts w:ascii="Arial Narrow" w:hAnsi="Arial Narrow"/>
          <w:iCs/>
          <w:sz w:val="22"/>
          <w:szCs w:val="22"/>
        </w:rPr>
        <w:t xml:space="preserve">Available from </w:t>
      </w:r>
      <w:r w:rsidRPr="00147124">
        <w:rPr>
          <w:rFonts w:ascii="Arial Narrow" w:hAnsi="Arial Narrow"/>
          <w:sz w:val="22"/>
          <w:szCs w:val="22"/>
        </w:rPr>
        <w:t>sydney.edu.au/health-sciences/</w:t>
      </w:r>
      <w:proofErr w:type="spellStart"/>
      <w:r w:rsidRPr="00147124">
        <w:rPr>
          <w:rFonts w:ascii="Arial Narrow" w:hAnsi="Arial Narrow"/>
          <w:sz w:val="22"/>
          <w:szCs w:val="22"/>
        </w:rPr>
        <w:t>cdrp</w:t>
      </w:r>
      <w:proofErr w:type="spellEnd"/>
      <w:r w:rsidRPr="00147124">
        <w:rPr>
          <w:rFonts w:ascii="Arial Narrow" w:hAnsi="Arial Narrow"/>
          <w:sz w:val="22"/>
          <w:szCs w:val="22"/>
        </w:rPr>
        <w:t>/publications.shtml</w:t>
      </w:r>
      <w:r w:rsidRPr="005871F1">
        <w:rPr>
          <w:rFonts w:ascii="Arial Narrow" w:hAnsi="Arial Narrow"/>
          <w:iCs/>
          <w:sz w:val="22"/>
          <w:szCs w:val="22"/>
        </w:rPr>
        <w:t xml:space="preserve"> </w:t>
      </w:r>
    </w:p>
  </w:footnote>
  <w:footnote w:id="9">
    <w:p w:rsidR="004A2066" w:rsidRPr="000336E4" w:rsidRDefault="004A2066" w:rsidP="00165722">
      <w:pPr>
        <w:pStyle w:val="EndnoteText"/>
        <w:rPr>
          <w:rFonts w:ascii="Arial Narrow" w:hAnsi="Arial Narrow"/>
          <w:sz w:val="22"/>
          <w:szCs w:val="22"/>
          <w:lang w:val="en-US"/>
        </w:rPr>
      </w:pPr>
      <w:r>
        <w:rPr>
          <w:rStyle w:val="FootnoteReference"/>
        </w:rPr>
        <w:footnoteRef/>
      </w:r>
      <w:r>
        <w:t xml:space="preserve"> </w:t>
      </w:r>
      <w:r w:rsidRPr="005871F1">
        <w:rPr>
          <w:rFonts w:ascii="Arial Narrow" w:hAnsi="Arial Narrow"/>
          <w:sz w:val="22"/>
          <w:szCs w:val="22"/>
        </w:rPr>
        <w:t xml:space="preserve">National Disability Coordination Officer Program </w:t>
      </w:r>
      <w:r>
        <w:rPr>
          <w:rFonts w:ascii="Arial Narrow" w:hAnsi="Arial Narrow"/>
          <w:sz w:val="22"/>
          <w:szCs w:val="22"/>
        </w:rPr>
        <w:t>(</w:t>
      </w:r>
      <w:r w:rsidRPr="005871F1">
        <w:rPr>
          <w:rFonts w:ascii="Arial Narrow" w:hAnsi="Arial Narrow"/>
          <w:sz w:val="22"/>
          <w:szCs w:val="22"/>
        </w:rPr>
        <w:t>2013</w:t>
      </w:r>
      <w:r>
        <w:rPr>
          <w:rFonts w:ascii="Arial Narrow" w:hAnsi="Arial Narrow"/>
          <w:sz w:val="22"/>
          <w:szCs w:val="22"/>
        </w:rPr>
        <w:t>)</w:t>
      </w:r>
      <w:r w:rsidRPr="005871F1">
        <w:rPr>
          <w:rFonts w:ascii="Arial Narrow" w:hAnsi="Arial Narrow"/>
          <w:sz w:val="22"/>
          <w:szCs w:val="22"/>
        </w:rPr>
        <w:t xml:space="preserve">. </w:t>
      </w:r>
      <w:r w:rsidRPr="005871F1">
        <w:rPr>
          <w:rFonts w:ascii="Arial Narrow" w:hAnsi="Arial Narrow"/>
          <w:i/>
          <w:sz w:val="22"/>
          <w:szCs w:val="22"/>
        </w:rPr>
        <w:t>What is a disability?</w:t>
      </w:r>
      <w:r>
        <w:rPr>
          <w:rFonts w:ascii="Arial Narrow" w:hAnsi="Arial Narrow"/>
          <w:sz w:val="22"/>
          <w:szCs w:val="22"/>
        </w:rPr>
        <w:t xml:space="preserve"> Available from </w:t>
      </w:r>
      <w:r w:rsidRPr="005871F1">
        <w:rPr>
          <w:rFonts w:ascii="Arial Narrow" w:hAnsi="Arial Narrow"/>
          <w:sz w:val="22"/>
          <w:szCs w:val="22"/>
        </w:rPr>
        <w:t>www.ndcoinspire21.com/?page_id=36</w:t>
      </w:r>
    </w:p>
  </w:footnote>
  <w:footnote w:id="10">
    <w:p w:rsidR="004A2066" w:rsidRPr="00493D8A" w:rsidRDefault="004A2066" w:rsidP="00493D8A">
      <w:pPr>
        <w:pStyle w:val="EndnoteText"/>
        <w:rPr>
          <w:rFonts w:ascii="Arial Narrow" w:hAnsi="Arial Narrow"/>
          <w:sz w:val="22"/>
          <w:szCs w:val="22"/>
          <w:lang w:val="en-US"/>
        </w:rPr>
      </w:pPr>
      <w:r>
        <w:rPr>
          <w:rStyle w:val="FootnoteReference"/>
        </w:rPr>
        <w:footnoteRef/>
      </w:r>
      <w:r>
        <w:t xml:space="preserve"> </w:t>
      </w:r>
      <w:proofErr w:type="gramStart"/>
      <w:r w:rsidRPr="005871F1">
        <w:rPr>
          <w:rFonts w:ascii="Arial Narrow" w:hAnsi="Arial Narrow"/>
          <w:sz w:val="22"/>
          <w:szCs w:val="22"/>
          <w:lang w:val="en-US"/>
        </w:rPr>
        <w:t>Australian Network on Disability (2013).</w:t>
      </w:r>
      <w:proofErr w:type="gramEnd"/>
      <w:r w:rsidRPr="005871F1">
        <w:rPr>
          <w:rFonts w:ascii="Arial Narrow" w:hAnsi="Arial Narrow"/>
          <w:sz w:val="22"/>
          <w:szCs w:val="22"/>
          <w:lang w:val="en-US"/>
        </w:rPr>
        <w:t xml:space="preserve"> </w:t>
      </w:r>
      <w:r w:rsidRPr="005871F1">
        <w:rPr>
          <w:rFonts w:ascii="Arial Narrow" w:hAnsi="Arial Narrow"/>
          <w:i/>
          <w:sz w:val="22"/>
          <w:szCs w:val="22"/>
          <w:lang w:val="en-US"/>
        </w:rPr>
        <w:t>Disability Statistics</w:t>
      </w:r>
      <w:r w:rsidRPr="005871F1">
        <w:rPr>
          <w:rFonts w:ascii="Arial Narrow" w:hAnsi="Arial Narrow"/>
          <w:sz w:val="22"/>
          <w:szCs w:val="22"/>
          <w:lang w:val="en-US"/>
        </w:rPr>
        <w:t>. Available from www.and.org.au/pages/disability-statistics.html</w:t>
      </w:r>
    </w:p>
  </w:footnote>
  <w:footnote w:id="11">
    <w:p w:rsidR="004A2066" w:rsidRPr="00493D8A" w:rsidRDefault="004A2066" w:rsidP="00493D8A">
      <w:pPr>
        <w:rPr>
          <w:rFonts w:ascii="Arial Narrow" w:hAnsi="Arial Narrow"/>
          <w:sz w:val="22"/>
          <w:szCs w:val="22"/>
        </w:rPr>
      </w:pPr>
      <w:r>
        <w:rPr>
          <w:rStyle w:val="FootnoteReference"/>
        </w:rPr>
        <w:footnoteRef/>
      </w:r>
      <w:r>
        <w:t xml:space="preserve"> </w:t>
      </w:r>
      <w:proofErr w:type="gramStart"/>
      <w:r>
        <w:rPr>
          <w:rFonts w:ascii="Arial Narrow" w:hAnsi="Arial Narrow"/>
          <w:sz w:val="22"/>
          <w:szCs w:val="22"/>
        </w:rPr>
        <w:t>World Health Organiz</w:t>
      </w:r>
      <w:r w:rsidRPr="005871F1">
        <w:rPr>
          <w:rFonts w:ascii="Arial Narrow" w:hAnsi="Arial Narrow"/>
          <w:sz w:val="22"/>
          <w:szCs w:val="22"/>
        </w:rPr>
        <w:t>a</w:t>
      </w:r>
      <w:r>
        <w:rPr>
          <w:rFonts w:ascii="Arial Narrow" w:hAnsi="Arial Narrow"/>
          <w:sz w:val="22"/>
          <w:szCs w:val="22"/>
        </w:rPr>
        <w:t>t</w:t>
      </w:r>
      <w:r w:rsidRPr="005871F1">
        <w:rPr>
          <w:rFonts w:ascii="Arial Narrow" w:hAnsi="Arial Narrow"/>
          <w:sz w:val="22"/>
          <w:szCs w:val="22"/>
        </w:rPr>
        <w:t>ion (2012).</w:t>
      </w:r>
      <w:proofErr w:type="gramEnd"/>
      <w:r w:rsidRPr="005871F1">
        <w:rPr>
          <w:rFonts w:ascii="Arial Narrow" w:hAnsi="Arial Narrow"/>
          <w:sz w:val="22"/>
          <w:szCs w:val="22"/>
        </w:rPr>
        <w:t xml:space="preserve"> </w:t>
      </w:r>
      <w:r w:rsidRPr="00493D8A">
        <w:rPr>
          <w:rFonts w:ascii="Arial Narrow" w:hAnsi="Arial Narrow"/>
          <w:i/>
          <w:sz w:val="22"/>
          <w:szCs w:val="22"/>
          <w:shd w:val="clear" w:color="auto" w:fill="FFFFFF"/>
        </w:rPr>
        <w:t>Fact sheet N</w:t>
      </w:r>
      <w:r>
        <w:rPr>
          <w:rFonts w:ascii="Arial Narrow" w:hAnsi="Arial Narrow"/>
          <w:i/>
          <w:sz w:val="22"/>
          <w:szCs w:val="22"/>
          <w:shd w:val="clear" w:color="auto" w:fill="FFFFFF"/>
        </w:rPr>
        <w:t xml:space="preserve">o. </w:t>
      </w:r>
      <w:r w:rsidRPr="00493D8A">
        <w:rPr>
          <w:rFonts w:ascii="Arial Narrow" w:hAnsi="Arial Narrow"/>
          <w:i/>
          <w:sz w:val="22"/>
          <w:szCs w:val="22"/>
          <w:shd w:val="clear" w:color="auto" w:fill="FFFFFF"/>
        </w:rPr>
        <w:t>352</w:t>
      </w:r>
      <w:r w:rsidRPr="00493D8A">
        <w:rPr>
          <w:rFonts w:ascii="Arial Narrow" w:hAnsi="Arial Narrow"/>
          <w:sz w:val="22"/>
          <w:szCs w:val="22"/>
          <w:shd w:val="clear" w:color="auto" w:fill="FFFFFF"/>
        </w:rPr>
        <w:t>. Geneva, Switzerland. Available from</w:t>
      </w:r>
      <w:r>
        <w:rPr>
          <w:rFonts w:ascii="Arial Narrow" w:hAnsi="Arial Narrow"/>
          <w:sz w:val="22"/>
          <w:szCs w:val="22"/>
          <w:shd w:val="clear" w:color="auto" w:fill="FFFFFF"/>
        </w:rPr>
        <w:t xml:space="preserve"> </w:t>
      </w:r>
      <w:r w:rsidRPr="005871F1">
        <w:rPr>
          <w:rFonts w:ascii="Arial Narrow" w:hAnsi="Arial Narrow"/>
          <w:sz w:val="22"/>
          <w:szCs w:val="22"/>
        </w:rPr>
        <w:t>www.who.int/mediacentre/factsheets/fs352/en/index.html</w:t>
      </w:r>
    </w:p>
  </w:footnote>
  <w:footnote w:id="12">
    <w:p w:rsidR="004A2066" w:rsidRPr="00AC5385" w:rsidRDefault="004A2066" w:rsidP="00165722">
      <w:pPr>
        <w:pStyle w:val="FootnoteText"/>
        <w:rPr>
          <w:lang w:val="en-US"/>
        </w:rPr>
      </w:pPr>
      <w:r>
        <w:rPr>
          <w:rStyle w:val="FootnoteReference"/>
        </w:rPr>
        <w:footnoteRef/>
      </w:r>
      <w:r>
        <w:t xml:space="preserve"> </w:t>
      </w:r>
      <w:r w:rsidRPr="005871F1">
        <w:rPr>
          <w:rFonts w:ascii="Arial Narrow" w:hAnsi="Arial Narrow"/>
          <w:sz w:val="22"/>
          <w:szCs w:val="22"/>
          <w:lang w:val="en-US"/>
        </w:rPr>
        <w:t>United Nations</w:t>
      </w:r>
      <w:r>
        <w:rPr>
          <w:rFonts w:ascii="Arial Narrow" w:hAnsi="Arial Narrow"/>
          <w:sz w:val="22"/>
          <w:szCs w:val="22"/>
          <w:lang w:val="en-US"/>
        </w:rPr>
        <w:t xml:space="preserve"> (2008)</w:t>
      </w:r>
      <w:r w:rsidRPr="005871F1">
        <w:rPr>
          <w:rFonts w:ascii="Arial Narrow" w:hAnsi="Arial Narrow"/>
          <w:sz w:val="22"/>
          <w:szCs w:val="22"/>
          <w:lang w:val="en-US"/>
        </w:rPr>
        <w:t xml:space="preserve">. </w:t>
      </w:r>
      <w:proofErr w:type="gramStart"/>
      <w:r w:rsidRPr="00493D8A">
        <w:rPr>
          <w:rFonts w:ascii="Arial Narrow" w:hAnsi="Arial Narrow"/>
          <w:i/>
          <w:sz w:val="22"/>
          <w:szCs w:val="22"/>
          <w:lang w:val="en-US"/>
        </w:rPr>
        <w:t>Convention on the Rights of Persons with Disabil</w:t>
      </w:r>
      <w:r>
        <w:rPr>
          <w:rFonts w:ascii="Arial Narrow" w:hAnsi="Arial Narrow"/>
          <w:i/>
          <w:sz w:val="22"/>
          <w:szCs w:val="22"/>
          <w:lang w:val="en-US"/>
        </w:rPr>
        <w:t>i</w:t>
      </w:r>
      <w:r w:rsidRPr="00493D8A">
        <w:rPr>
          <w:rFonts w:ascii="Arial Narrow" w:hAnsi="Arial Narrow"/>
          <w:i/>
          <w:sz w:val="22"/>
          <w:szCs w:val="22"/>
          <w:lang w:val="en-US"/>
        </w:rPr>
        <w:t>tie</w:t>
      </w:r>
      <w:r>
        <w:rPr>
          <w:rFonts w:ascii="Arial Narrow" w:hAnsi="Arial Narrow"/>
          <w:i/>
          <w:sz w:val="22"/>
          <w:szCs w:val="22"/>
          <w:lang w:val="en-US"/>
        </w:rPr>
        <w:t>s</w:t>
      </w:r>
      <w:r w:rsidRPr="005871F1">
        <w:rPr>
          <w:rFonts w:ascii="Arial Narrow" w:hAnsi="Arial Narrow"/>
          <w:sz w:val="22"/>
          <w:szCs w:val="22"/>
          <w:lang w:val="en-US"/>
        </w:rPr>
        <w:t>.</w:t>
      </w:r>
      <w:proofErr w:type="gramEnd"/>
      <w:r w:rsidRPr="005871F1">
        <w:rPr>
          <w:rFonts w:ascii="Arial Narrow" w:hAnsi="Arial Narrow"/>
          <w:sz w:val="22"/>
          <w:szCs w:val="22"/>
          <w:lang w:val="en-US"/>
        </w:rPr>
        <w:t xml:space="preserve"> Available from www.un.org/disabilities/default.asp?id=150</w:t>
      </w:r>
    </w:p>
  </w:footnote>
  <w:footnote w:id="13">
    <w:p w:rsidR="004A2066" w:rsidRPr="00493D8A" w:rsidRDefault="004A2066" w:rsidP="00165722">
      <w:pPr>
        <w:rPr>
          <w:lang w:val="en-US"/>
        </w:rPr>
      </w:pPr>
      <w:r>
        <w:rPr>
          <w:rStyle w:val="FootnoteReference"/>
        </w:rPr>
        <w:footnoteRef/>
      </w:r>
      <w:r>
        <w:t xml:space="preserve"> </w:t>
      </w:r>
      <w:r w:rsidRPr="00493D8A">
        <w:rPr>
          <w:rFonts w:ascii="Arial Narrow" w:hAnsi="Arial Narrow" w:cs="Arial"/>
          <w:sz w:val="22"/>
          <w:szCs w:val="22"/>
          <w:shd w:val="clear" w:color="auto" w:fill="FFFFFF"/>
          <w:lang w:val="en-US"/>
        </w:rPr>
        <w:t xml:space="preserve">Oliver, M. (1996). </w:t>
      </w:r>
      <w:r w:rsidRPr="00493D8A">
        <w:rPr>
          <w:rFonts w:ascii="Arial Narrow" w:hAnsi="Arial Narrow" w:cs="Arial"/>
          <w:bCs/>
          <w:i/>
          <w:iCs/>
          <w:sz w:val="22"/>
          <w:szCs w:val="22"/>
          <w:shd w:val="clear" w:color="auto" w:fill="FFFFFF"/>
          <w:lang w:val="en-US"/>
        </w:rPr>
        <w:t xml:space="preserve">Understanding disability: From theory to practice. </w:t>
      </w:r>
      <w:r w:rsidRPr="00493D8A">
        <w:rPr>
          <w:rFonts w:ascii="Arial Narrow" w:hAnsi="Arial Narrow" w:cs="Arial"/>
          <w:sz w:val="22"/>
          <w:szCs w:val="22"/>
          <w:shd w:val="clear" w:color="auto" w:fill="FFFFFF"/>
          <w:lang w:val="en-US"/>
        </w:rPr>
        <w:t>Basingstoke: Macmillan.</w:t>
      </w:r>
    </w:p>
  </w:footnote>
  <w:footnote w:id="14">
    <w:p w:rsidR="004A2066" w:rsidRPr="00493D8A" w:rsidRDefault="004A2066" w:rsidP="00D65B22">
      <w:pPr>
        <w:pStyle w:val="EndnoteText"/>
        <w:rPr>
          <w:lang w:val="en-US"/>
        </w:rPr>
      </w:pPr>
      <w:r w:rsidRPr="00493D8A">
        <w:rPr>
          <w:rStyle w:val="FootnoteReference"/>
        </w:rPr>
        <w:footnoteRef/>
      </w:r>
      <w:r w:rsidRPr="00493D8A">
        <w:t xml:space="preserve"> </w:t>
      </w:r>
      <w:proofErr w:type="gramStart"/>
      <w:r w:rsidRPr="00493D8A">
        <w:rPr>
          <w:rFonts w:ascii="Arial Narrow" w:hAnsi="Arial Narrow"/>
          <w:sz w:val="22"/>
          <w:szCs w:val="22"/>
          <w:lang w:val="en-US"/>
        </w:rPr>
        <w:t>Australian Network on Disability (2013).</w:t>
      </w:r>
      <w:proofErr w:type="gramEnd"/>
      <w:r w:rsidRPr="00493D8A">
        <w:rPr>
          <w:rFonts w:ascii="Arial Narrow" w:hAnsi="Arial Narrow"/>
          <w:sz w:val="22"/>
          <w:szCs w:val="22"/>
          <w:lang w:val="en-US"/>
        </w:rPr>
        <w:t xml:space="preserve"> </w:t>
      </w:r>
      <w:r w:rsidRPr="00493D8A">
        <w:rPr>
          <w:rFonts w:ascii="Arial Narrow" w:hAnsi="Arial Narrow"/>
          <w:i/>
          <w:sz w:val="22"/>
          <w:szCs w:val="22"/>
          <w:lang w:val="en-US"/>
        </w:rPr>
        <w:t>Fact sheets</w:t>
      </w:r>
      <w:r w:rsidRPr="00493D8A">
        <w:rPr>
          <w:rFonts w:ascii="Arial Narrow" w:hAnsi="Arial Narrow"/>
          <w:sz w:val="22"/>
          <w:szCs w:val="22"/>
          <w:lang w:val="en-US"/>
        </w:rPr>
        <w:t>. Available from www.and.org.au/pages/what-is-a-disability.html</w:t>
      </w:r>
    </w:p>
  </w:footnote>
  <w:footnote w:id="15">
    <w:p w:rsidR="004A2066" w:rsidRPr="00F86DAB" w:rsidRDefault="004A2066">
      <w:pPr>
        <w:pStyle w:val="FootnoteText"/>
        <w:rPr>
          <w:lang w:val="en-US"/>
        </w:rPr>
      </w:pPr>
      <w:r>
        <w:rPr>
          <w:rStyle w:val="FootnoteReference"/>
        </w:rPr>
        <w:footnoteRef/>
      </w:r>
      <w:r>
        <w:t xml:space="preserve">  </w:t>
      </w:r>
      <w:r>
        <w:rPr>
          <w:rFonts w:ascii="Arial Narrow" w:hAnsi="Arial Narrow"/>
          <w:i/>
          <w:sz w:val="22"/>
          <w:szCs w:val="22"/>
        </w:rPr>
        <w:t>Disability Rights Now –</w:t>
      </w:r>
      <w:r w:rsidRPr="005871F1">
        <w:rPr>
          <w:rFonts w:ascii="Arial Narrow" w:hAnsi="Arial Narrow"/>
          <w:i/>
          <w:sz w:val="22"/>
          <w:szCs w:val="22"/>
        </w:rPr>
        <w:t xml:space="preserve"> Civil Society Report to the United Nations Committee on the Righ</w:t>
      </w:r>
      <w:r>
        <w:rPr>
          <w:rFonts w:ascii="Arial Narrow" w:hAnsi="Arial Narrow"/>
          <w:i/>
          <w:sz w:val="22"/>
          <w:szCs w:val="22"/>
        </w:rPr>
        <w:t xml:space="preserve">ts of Persons with Disabilities </w:t>
      </w:r>
      <w:r w:rsidRPr="005871F1">
        <w:rPr>
          <w:rFonts w:ascii="Arial Narrow" w:hAnsi="Arial Narrow"/>
          <w:i/>
          <w:sz w:val="22"/>
          <w:szCs w:val="22"/>
        </w:rPr>
        <w:t xml:space="preserve"> </w:t>
      </w:r>
      <w:r w:rsidRPr="00135A94">
        <w:rPr>
          <w:rFonts w:ascii="Arial Narrow" w:hAnsi="Arial Narrow"/>
          <w:i/>
          <w:sz w:val="22"/>
          <w:szCs w:val="22"/>
        </w:rPr>
        <w:t>(2012)</w:t>
      </w:r>
      <w:r w:rsidRPr="005871F1">
        <w:rPr>
          <w:rFonts w:ascii="Arial Narrow" w:hAnsi="Arial Narrow"/>
          <w:sz w:val="22"/>
          <w:szCs w:val="22"/>
        </w:rPr>
        <w:t xml:space="preserve">. Available from </w:t>
      </w:r>
      <w:r w:rsidRPr="00F86DAB">
        <w:rPr>
          <w:rFonts w:ascii="Arial Narrow" w:hAnsi="Arial Narrow"/>
          <w:sz w:val="22"/>
          <w:szCs w:val="22"/>
        </w:rPr>
        <w:t>www.disabilityrightsnow.org.au/node/15</w:t>
      </w:r>
    </w:p>
  </w:footnote>
  <w:footnote w:id="16">
    <w:p w:rsidR="004A2066" w:rsidRPr="00B34F4F" w:rsidRDefault="004A2066" w:rsidP="00165722">
      <w:pPr>
        <w:pStyle w:val="FootnoteText"/>
        <w:rPr>
          <w:lang w:val="en-US"/>
        </w:rPr>
      </w:pPr>
      <w:r>
        <w:rPr>
          <w:rStyle w:val="FootnoteReference"/>
        </w:rPr>
        <w:footnoteRef/>
      </w:r>
      <w:r>
        <w:t xml:space="preserve"> </w:t>
      </w:r>
      <w:r>
        <w:rPr>
          <w:rFonts w:ascii="Arial Narrow" w:hAnsi="Arial Narrow"/>
          <w:i/>
          <w:sz w:val="22"/>
          <w:szCs w:val="22"/>
        </w:rPr>
        <w:t>Disability Rights Now –</w:t>
      </w:r>
      <w:r w:rsidRPr="005871F1">
        <w:rPr>
          <w:rFonts w:ascii="Arial Narrow" w:hAnsi="Arial Narrow"/>
          <w:i/>
          <w:sz w:val="22"/>
          <w:szCs w:val="22"/>
        </w:rPr>
        <w:t xml:space="preserve"> Civil Society Report to the United Nations Committee on the Righ</w:t>
      </w:r>
      <w:r>
        <w:rPr>
          <w:rFonts w:ascii="Arial Narrow" w:hAnsi="Arial Narrow"/>
          <w:i/>
          <w:sz w:val="22"/>
          <w:szCs w:val="22"/>
        </w:rPr>
        <w:t xml:space="preserve">ts of Persons with Disabilities </w:t>
      </w:r>
      <w:r w:rsidRPr="005871F1">
        <w:rPr>
          <w:rFonts w:ascii="Arial Narrow" w:hAnsi="Arial Narrow"/>
          <w:i/>
          <w:sz w:val="22"/>
          <w:szCs w:val="22"/>
        </w:rPr>
        <w:t xml:space="preserve"> </w:t>
      </w:r>
      <w:r w:rsidRPr="00135A94">
        <w:rPr>
          <w:rFonts w:ascii="Arial Narrow" w:hAnsi="Arial Narrow"/>
          <w:i/>
          <w:sz w:val="22"/>
          <w:szCs w:val="22"/>
        </w:rPr>
        <w:t>(2012)</w:t>
      </w:r>
      <w:r w:rsidRPr="005871F1">
        <w:rPr>
          <w:rFonts w:ascii="Arial Narrow" w:hAnsi="Arial Narrow"/>
          <w:sz w:val="22"/>
          <w:szCs w:val="22"/>
        </w:rPr>
        <w:t xml:space="preserve">. Available from </w:t>
      </w:r>
      <w:hyperlink r:id="rId3" w:history="1">
        <w:r w:rsidRPr="00E13036">
          <w:rPr>
            <w:rStyle w:val="Hyperlink"/>
            <w:rFonts w:ascii="Arial Narrow" w:hAnsi="Arial Narrow"/>
            <w:sz w:val="22"/>
            <w:szCs w:val="22"/>
          </w:rPr>
          <w:t>www.disabilityrightsnow.org.au/node/15</w:t>
        </w:r>
      </w:hyperlink>
      <w:r>
        <w:rPr>
          <w:rFonts w:ascii="Arial Narrow" w:hAnsi="Arial Narrow"/>
          <w:sz w:val="22"/>
          <w:szCs w:val="22"/>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6" w:rsidRPr="006357E0" w:rsidRDefault="004A2066" w:rsidP="00AD67D1">
    <w:pPr>
      <w:pStyle w:val="Header"/>
      <w:tabs>
        <w:tab w:val="left" w:pos="5447"/>
        <w:tab w:val="right" w:pos="9977"/>
      </w:tabs>
      <w:jc w:val="left"/>
    </w:pPr>
    <w:r>
      <w:tab/>
    </w:r>
    <w:r>
      <w:tab/>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6" w:rsidRPr="00BE0B4B" w:rsidRDefault="004A2066" w:rsidP="00BE0B4B">
    <w:pPr>
      <w:tabs>
        <w:tab w:val="left" w:pos="142"/>
      </w:tabs>
      <w:rPr>
        <w:sz w:val="22"/>
      </w:rPr>
    </w:pPr>
    <w:r>
      <w:rPr>
        <w:noProof/>
        <w:lang w:val="en-US" w:eastAsia="en-US"/>
      </w:rPr>
      <w:drawing>
        <wp:anchor distT="0" distB="0" distL="114300" distR="114300" simplePos="0" relativeHeight="251657728" behindDoc="0" locked="0" layoutInCell="1" allowOverlap="1" wp14:anchorId="37E93944" wp14:editId="0946AC37">
          <wp:simplePos x="0" y="0"/>
          <wp:positionH relativeFrom="page">
            <wp:posOffset>688975</wp:posOffset>
          </wp:positionH>
          <wp:positionV relativeFrom="page">
            <wp:posOffset>476250</wp:posOffset>
          </wp:positionV>
          <wp:extent cx="1565275" cy="541020"/>
          <wp:effectExtent l="0" t="0" r="0" b="0"/>
          <wp:wrapNone/>
          <wp:docPr id="3" name="Picture 3" descr="University of Sydney" title="University of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SY_MB1_RGB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066" w:rsidRDefault="004A2066" w:rsidP="00B1003E">
    <w:pP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2C74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3">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4">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5">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6">
    <w:nsid w:val="15B04215"/>
    <w:multiLevelType w:val="hybridMultilevel"/>
    <w:tmpl w:val="E0DAA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67EC7"/>
    <w:multiLevelType w:val="hybridMultilevel"/>
    <w:tmpl w:val="E3306A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18C20A0D"/>
    <w:multiLevelType w:val="hybridMultilevel"/>
    <w:tmpl w:val="48A69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841A1A"/>
    <w:multiLevelType w:val="multilevel"/>
    <w:tmpl w:val="3722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9C4A3E"/>
    <w:multiLevelType w:val="hybridMultilevel"/>
    <w:tmpl w:val="D644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85E6A"/>
    <w:multiLevelType w:val="hybridMultilevel"/>
    <w:tmpl w:val="482E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72077"/>
    <w:multiLevelType w:val="hybridMultilevel"/>
    <w:tmpl w:val="3454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CB3983"/>
    <w:multiLevelType w:val="hybridMultilevel"/>
    <w:tmpl w:val="285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CC3275"/>
    <w:multiLevelType w:val="multilevel"/>
    <w:tmpl w:val="FC3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15"/>
  </w:num>
  <w:num w:numId="7">
    <w:abstractNumId w:val="9"/>
  </w:num>
  <w:num w:numId="8">
    <w:abstractNumId w:val="11"/>
  </w:num>
  <w:num w:numId="9">
    <w:abstractNumId w:val="6"/>
  </w:num>
  <w:num w:numId="10">
    <w:abstractNumId w:val="12"/>
  </w:num>
  <w:num w:numId="11">
    <w:abstractNumId w:val="8"/>
  </w:num>
  <w:num w:numId="12">
    <w:abstractNumId w:val="7"/>
  </w:num>
  <w:num w:numId="13">
    <w:abstractNumId w:val="14"/>
  </w:num>
  <w:num w:numId="14">
    <w:abstractNumId w:val="10"/>
  </w:num>
  <w:num w:numId="15">
    <w:abstractNumId w:val="13"/>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03"/>
    <w:rsid w:val="0000051D"/>
    <w:rsid w:val="00000EDB"/>
    <w:rsid w:val="000017D4"/>
    <w:rsid w:val="00001D52"/>
    <w:rsid w:val="00001FD4"/>
    <w:rsid w:val="0000226D"/>
    <w:rsid w:val="00002A18"/>
    <w:rsid w:val="00002F1A"/>
    <w:rsid w:val="000030E5"/>
    <w:rsid w:val="0000352C"/>
    <w:rsid w:val="000039D0"/>
    <w:rsid w:val="00004083"/>
    <w:rsid w:val="000047CC"/>
    <w:rsid w:val="00004A0F"/>
    <w:rsid w:val="00004DED"/>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3CF0"/>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1C81"/>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9B2"/>
    <w:rsid w:val="00064E4D"/>
    <w:rsid w:val="00065055"/>
    <w:rsid w:val="0006553E"/>
    <w:rsid w:val="00065788"/>
    <w:rsid w:val="00065E3C"/>
    <w:rsid w:val="00065EF3"/>
    <w:rsid w:val="0006601C"/>
    <w:rsid w:val="00066CE2"/>
    <w:rsid w:val="00066F42"/>
    <w:rsid w:val="00067AC5"/>
    <w:rsid w:val="000704C9"/>
    <w:rsid w:val="00070CB5"/>
    <w:rsid w:val="00071210"/>
    <w:rsid w:val="000712F2"/>
    <w:rsid w:val="00071487"/>
    <w:rsid w:val="000716E3"/>
    <w:rsid w:val="000720F7"/>
    <w:rsid w:val="000723E3"/>
    <w:rsid w:val="00072708"/>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190"/>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4F81"/>
    <w:rsid w:val="000B692A"/>
    <w:rsid w:val="000B6D00"/>
    <w:rsid w:val="000B77E9"/>
    <w:rsid w:val="000B7E23"/>
    <w:rsid w:val="000C03A6"/>
    <w:rsid w:val="000C0E9C"/>
    <w:rsid w:val="000C1BFB"/>
    <w:rsid w:val="000C1F1E"/>
    <w:rsid w:val="000C26D3"/>
    <w:rsid w:val="000C4123"/>
    <w:rsid w:val="000C4AED"/>
    <w:rsid w:val="000C5527"/>
    <w:rsid w:val="000C5894"/>
    <w:rsid w:val="000C5915"/>
    <w:rsid w:val="000C5ACE"/>
    <w:rsid w:val="000C5C97"/>
    <w:rsid w:val="000C682F"/>
    <w:rsid w:val="000C7704"/>
    <w:rsid w:val="000D1341"/>
    <w:rsid w:val="000D1CAE"/>
    <w:rsid w:val="000D1ED6"/>
    <w:rsid w:val="000D288B"/>
    <w:rsid w:val="000D2A71"/>
    <w:rsid w:val="000D3304"/>
    <w:rsid w:val="000D3396"/>
    <w:rsid w:val="000D33EA"/>
    <w:rsid w:val="000D3ACE"/>
    <w:rsid w:val="000D3FC3"/>
    <w:rsid w:val="000D43C0"/>
    <w:rsid w:val="000D55C9"/>
    <w:rsid w:val="000D59E1"/>
    <w:rsid w:val="000D604A"/>
    <w:rsid w:val="000D6089"/>
    <w:rsid w:val="000D60D7"/>
    <w:rsid w:val="000D6408"/>
    <w:rsid w:val="000D6739"/>
    <w:rsid w:val="000D6E1D"/>
    <w:rsid w:val="000D73E7"/>
    <w:rsid w:val="000D7750"/>
    <w:rsid w:val="000D78FF"/>
    <w:rsid w:val="000E0732"/>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1F0D"/>
    <w:rsid w:val="000F2100"/>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0FA1"/>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7"/>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94"/>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124"/>
    <w:rsid w:val="00147A1C"/>
    <w:rsid w:val="00150A26"/>
    <w:rsid w:val="00150C92"/>
    <w:rsid w:val="00150C95"/>
    <w:rsid w:val="00150EC1"/>
    <w:rsid w:val="00151112"/>
    <w:rsid w:val="001514A7"/>
    <w:rsid w:val="001518A3"/>
    <w:rsid w:val="0015213F"/>
    <w:rsid w:val="001522E9"/>
    <w:rsid w:val="001525A2"/>
    <w:rsid w:val="001531B3"/>
    <w:rsid w:val="00153F5D"/>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72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5E1"/>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25F3"/>
    <w:rsid w:val="001A3135"/>
    <w:rsid w:val="001A3580"/>
    <w:rsid w:val="001A3EDE"/>
    <w:rsid w:val="001A3F44"/>
    <w:rsid w:val="001A4D68"/>
    <w:rsid w:val="001A50F7"/>
    <w:rsid w:val="001A5523"/>
    <w:rsid w:val="001A5804"/>
    <w:rsid w:val="001A584F"/>
    <w:rsid w:val="001A5987"/>
    <w:rsid w:val="001A5B2B"/>
    <w:rsid w:val="001A635D"/>
    <w:rsid w:val="001A63A3"/>
    <w:rsid w:val="001A6896"/>
    <w:rsid w:val="001A6C05"/>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6FD7"/>
    <w:rsid w:val="001D70CD"/>
    <w:rsid w:val="001D73BC"/>
    <w:rsid w:val="001D7578"/>
    <w:rsid w:val="001D76C7"/>
    <w:rsid w:val="001E0010"/>
    <w:rsid w:val="001E02C8"/>
    <w:rsid w:val="001E0645"/>
    <w:rsid w:val="001E0805"/>
    <w:rsid w:val="001E0DD2"/>
    <w:rsid w:val="001E0DE2"/>
    <w:rsid w:val="001E0ED7"/>
    <w:rsid w:val="001E1217"/>
    <w:rsid w:val="001E17C0"/>
    <w:rsid w:val="001E17E9"/>
    <w:rsid w:val="001E2140"/>
    <w:rsid w:val="001E2616"/>
    <w:rsid w:val="001E3876"/>
    <w:rsid w:val="001E443B"/>
    <w:rsid w:val="001E49EB"/>
    <w:rsid w:val="001E4BF6"/>
    <w:rsid w:val="001E5124"/>
    <w:rsid w:val="001E52FA"/>
    <w:rsid w:val="001E5981"/>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6FA6"/>
    <w:rsid w:val="001F73AC"/>
    <w:rsid w:val="001F7739"/>
    <w:rsid w:val="001F7B7C"/>
    <w:rsid w:val="001F7C64"/>
    <w:rsid w:val="00200269"/>
    <w:rsid w:val="00200AFC"/>
    <w:rsid w:val="00200CE1"/>
    <w:rsid w:val="00201CA5"/>
    <w:rsid w:val="00202A92"/>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4F"/>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9D6"/>
    <w:rsid w:val="00242BF7"/>
    <w:rsid w:val="00242C35"/>
    <w:rsid w:val="0024335D"/>
    <w:rsid w:val="00243749"/>
    <w:rsid w:val="00243A05"/>
    <w:rsid w:val="00243F69"/>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5A4"/>
    <w:rsid w:val="002528E9"/>
    <w:rsid w:val="00252D49"/>
    <w:rsid w:val="00253440"/>
    <w:rsid w:val="00253A3F"/>
    <w:rsid w:val="00253B70"/>
    <w:rsid w:val="00253CF2"/>
    <w:rsid w:val="00254276"/>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AB2"/>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0A62"/>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52D"/>
    <w:rsid w:val="002C5842"/>
    <w:rsid w:val="002C63B7"/>
    <w:rsid w:val="002C65D9"/>
    <w:rsid w:val="002C7776"/>
    <w:rsid w:val="002C7DA8"/>
    <w:rsid w:val="002D0AFF"/>
    <w:rsid w:val="002D0C9A"/>
    <w:rsid w:val="002D0ED2"/>
    <w:rsid w:val="002D1860"/>
    <w:rsid w:val="002D1946"/>
    <w:rsid w:val="002D1D32"/>
    <w:rsid w:val="002D26B7"/>
    <w:rsid w:val="002D4561"/>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13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4F91"/>
    <w:rsid w:val="002F52F1"/>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17D9A"/>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77A"/>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6EBA"/>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5F86"/>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472"/>
    <w:rsid w:val="0039665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74C"/>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AE3"/>
    <w:rsid w:val="003D0E22"/>
    <w:rsid w:val="003D0E63"/>
    <w:rsid w:val="003D0EE2"/>
    <w:rsid w:val="003D0FC6"/>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55E"/>
    <w:rsid w:val="003E0A92"/>
    <w:rsid w:val="003E101E"/>
    <w:rsid w:val="003E1168"/>
    <w:rsid w:val="003E3931"/>
    <w:rsid w:val="003E46A7"/>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1A78"/>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2B1E"/>
    <w:rsid w:val="0041319D"/>
    <w:rsid w:val="004133D5"/>
    <w:rsid w:val="004133EC"/>
    <w:rsid w:val="004134B1"/>
    <w:rsid w:val="00413A7F"/>
    <w:rsid w:val="00414394"/>
    <w:rsid w:val="0041466F"/>
    <w:rsid w:val="004151A9"/>
    <w:rsid w:val="00415420"/>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5DAB"/>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6DB"/>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254"/>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100A"/>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3D8A"/>
    <w:rsid w:val="00494440"/>
    <w:rsid w:val="00496259"/>
    <w:rsid w:val="0049787D"/>
    <w:rsid w:val="00497992"/>
    <w:rsid w:val="00497BBF"/>
    <w:rsid w:val="004A0323"/>
    <w:rsid w:val="004A14EA"/>
    <w:rsid w:val="004A16CE"/>
    <w:rsid w:val="004A1978"/>
    <w:rsid w:val="004A202B"/>
    <w:rsid w:val="004A2066"/>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5E1B"/>
    <w:rsid w:val="004A650C"/>
    <w:rsid w:val="004B0AF0"/>
    <w:rsid w:val="004B0C81"/>
    <w:rsid w:val="004B1910"/>
    <w:rsid w:val="004B1FD8"/>
    <w:rsid w:val="004B3690"/>
    <w:rsid w:val="004B48F1"/>
    <w:rsid w:val="004B50D0"/>
    <w:rsid w:val="004B5381"/>
    <w:rsid w:val="004B5B4E"/>
    <w:rsid w:val="004B7035"/>
    <w:rsid w:val="004B79DC"/>
    <w:rsid w:val="004C0356"/>
    <w:rsid w:val="004C0C6D"/>
    <w:rsid w:val="004C14A4"/>
    <w:rsid w:val="004C18ED"/>
    <w:rsid w:val="004C223A"/>
    <w:rsid w:val="004C307C"/>
    <w:rsid w:val="004C4168"/>
    <w:rsid w:val="004C4348"/>
    <w:rsid w:val="004C5DBA"/>
    <w:rsid w:val="004C62E2"/>
    <w:rsid w:val="004C68A1"/>
    <w:rsid w:val="004C7162"/>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46C"/>
    <w:rsid w:val="004E350A"/>
    <w:rsid w:val="004E4889"/>
    <w:rsid w:val="004E5A3D"/>
    <w:rsid w:val="004E62D2"/>
    <w:rsid w:val="004E6B20"/>
    <w:rsid w:val="004E6DD4"/>
    <w:rsid w:val="004E7215"/>
    <w:rsid w:val="004E7312"/>
    <w:rsid w:val="004E7852"/>
    <w:rsid w:val="004E7B6D"/>
    <w:rsid w:val="004E7CF9"/>
    <w:rsid w:val="004F06BB"/>
    <w:rsid w:val="004F13CF"/>
    <w:rsid w:val="004F1665"/>
    <w:rsid w:val="004F1C41"/>
    <w:rsid w:val="004F3636"/>
    <w:rsid w:val="004F3B03"/>
    <w:rsid w:val="004F4574"/>
    <w:rsid w:val="004F46AF"/>
    <w:rsid w:val="004F46BB"/>
    <w:rsid w:val="004F4CE0"/>
    <w:rsid w:val="004F58FA"/>
    <w:rsid w:val="004F5A71"/>
    <w:rsid w:val="004F5ABC"/>
    <w:rsid w:val="004F5D94"/>
    <w:rsid w:val="004F6227"/>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0C19"/>
    <w:rsid w:val="0051137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8A4"/>
    <w:rsid w:val="00536BE5"/>
    <w:rsid w:val="0053713B"/>
    <w:rsid w:val="005377EB"/>
    <w:rsid w:val="00537ADD"/>
    <w:rsid w:val="00537B28"/>
    <w:rsid w:val="005407F5"/>
    <w:rsid w:val="00540E2B"/>
    <w:rsid w:val="00541233"/>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086"/>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3C18"/>
    <w:rsid w:val="005742B1"/>
    <w:rsid w:val="0057436A"/>
    <w:rsid w:val="00575654"/>
    <w:rsid w:val="005769B5"/>
    <w:rsid w:val="00577D2F"/>
    <w:rsid w:val="0058003F"/>
    <w:rsid w:val="00580253"/>
    <w:rsid w:val="00580440"/>
    <w:rsid w:val="005809B1"/>
    <w:rsid w:val="00580E2A"/>
    <w:rsid w:val="00581058"/>
    <w:rsid w:val="0058141B"/>
    <w:rsid w:val="00581705"/>
    <w:rsid w:val="00581718"/>
    <w:rsid w:val="00581A1C"/>
    <w:rsid w:val="005827E6"/>
    <w:rsid w:val="00582ADA"/>
    <w:rsid w:val="00582C42"/>
    <w:rsid w:val="00582CD9"/>
    <w:rsid w:val="005833B3"/>
    <w:rsid w:val="00583674"/>
    <w:rsid w:val="005838BE"/>
    <w:rsid w:val="00583ABD"/>
    <w:rsid w:val="00583E5E"/>
    <w:rsid w:val="005842C5"/>
    <w:rsid w:val="005843A7"/>
    <w:rsid w:val="00584A0B"/>
    <w:rsid w:val="00585336"/>
    <w:rsid w:val="00585710"/>
    <w:rsid w:val="00585AC5"/>
    <w:rsid w:val="005868E5"/>
    <w:rsid w:val="00587884"/>
    <w:rsid w:val="00587C84"/>
    <w:rsid w:val="00587C87"/>
    <w:rsid w:val="00587E13"/>
    <w:rsid w:val="00587F42"/>
    <w:rsid w:val="00590027"/>
    <w:rsid w:val="0059118E"/>
    <w:rsid w:val="0059192D"/>
    <w:rsid w:val="00591E7A"/>
    <w:rsid w:val="00592391"/>
    <w:rsid w:val="00592EAA"/>
    <w:rsid w:val="005947FB"/>
    <w:rsid w:val="005949E3"/>
    <w:rsid w:val="00595443"/>
    <w:rsid w:val="005954C5"/>
    <w:rsid w:val="005968FA"/>
    <w:rsid w:val="00596AD3"/>
    <w:rsid w:val="00596F6C"/>
    <w:rsid w:val="005972DF"/>
    <w:rsid w:val="005974B4"/>
    <w:rsid w:val="005975C9"/>
    <w:rsid w:val="00597A01"/>
    <w:rsid w:val="00597C3B"/>
    <w:rsid w:val="00597E23"/>
    <w:rsid w:val="005A040C"/>
    <w:rsid w:val="005A0641"/>
    <w:rsid w:val="005A0793"/>
    <w:rsid w:val="005A0A07"/>
    <w:rsid w:val="005A0D82"/>
    <w:rsid w:val="005A0FA7"/>
    <w:rsid w:val="005A3585"/>
    <w:rsid w:val="005A3666"/>
    <w:rsid w:val="005A38BA"/>
    <w:rsid w:val="005A4927"/>
    <w:rsid w:val="005A4ECA"/>
    <w:rsid w:val="005A564E"/>
    <w:rsid w:val="005A57A5"/>
    <w:rsid w:val="005A59F4"/>
    <w:rsid w:val="005A6B14"/>
    <w:rsid w:val="005A6C27"/>
    <w:rsid w:val="005A6E42"/>
    <w:rsid w:val="005A710E"/>
    <w:rsid w:val="005A723F"/>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07D8"/>
    <w:rsid w:val="005C1AE6"/>
    <w:rsid w:val="005C2684"/>
    <w:rsid w:val="005C2B12"/>
    <w:rsid w:val="005C2B89"/>
    <w:rsid w:val="005C34AB"/>
    <w:rsid w:val="005C41A4"/>
    <w:rsid w:val="005C45B1"/>
    <w:rsid w:val="005C4897"/>
    <w:rsid w:val="005C493A"/>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16"/>
    <w:rsid w:val="00606E67"/>
    <w:rsid w:val="006070C7"/>
    <w:rsid w:val="00607378"/>
    <w:rsid w:val="00607928"/>
    <w:rsid w:val="00607975"/>
    <w:rsid w:val="006106B5"/>
    <w:rsid w:val="00611E40"/>
    <w:rsid w:val="00612120"/>
    <w:rsid w:val="00612EC4"/>
    <w:rsid w:val="00613225"/>
    <w:rsid w:val="00613403"/>
    <w:rsid w:val="00613997"/>
    <w:rsid w:val="0061470C"/>
    <w:rsid w:val="00614876"/>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821"/>
    <w:rsid w:val="00665941"/>
    <w:rsid w:val="00665C8A"/>
    <w:rsid w:val="0066685E"/>
    <w:rsid w:val="006669F3"/>
    <w:rsid w:val="00667CFE"/>
    <w:rsid w:val="006702A4"/>
    <w:rsid w:val="006706C8"/>
    <w:rsid w:val="0067137E"/>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174"/>
    <w:rsid w:val="006A23CE"/>
    <w:rsid w:val="006A2409"/>
    <w:rsid w:val="006A2910"/>
    <w:rsid w:val="006A311B"/>
    <w:rsid w:val="006A3DD1"/>
    <w:rsid w:val="006A439B"/>
    <w:rsid w:val="006A4AB3"/>
    <w:rsid w:val="006A4B91"/>
    <w:rsid w:val="006A4BFB"/>
    <w:rsid w:val="006A652E"/>
    <w:rsid w:val="006A6E89"/>
    <w:rsid w:val="006A716E"/>
    <w:rsid w:val="006A74C9"/>
    <w:rsid w:val="006A76FA"/>
    <w:rsid w:val="006A7832"/>
    <w:rsid w:val="006A7C5F"/>
    <w:rsid w:val="006A7FB4"/>
    <w:rsid w:val="006B00E5"/>
    <w:rsid w:val="006B0996"/>
    <w:rsid w:val="006B0A3F"/>
    <w:rsid w:val="006B0BB1"/>
    <w:rsid w:val="006B1259"/>
    <w:rsid w:val="006B12BD"/>
    <w:rsid w:val="006B1341"/>
    <w:rsid w:val="006B1D25"/>
    <w:rsid w:val="006B1FA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6AF"/>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57B"/>
    <w:rsid w:val="006F4DE3"/>
    <w:rsid w:val="006F5567"/>
    <w:rsid w:val="006F660A"/>
    <w:rsid w:val="006F68F3"/>
    <w:rsid w:val="006F7F4C"/>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758"/>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B4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12E"/>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1BF"/>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A5D"/>
    <w:rsid w:val="00764C69"/>
    <w:rsid w:val="00765FF4"/>
    <w:rsid w:val="0076636D"/>
    <w:rsid w:val="007664BC"/>
    <w:rsid w:val="0076655C"/>
    <w:rsid w:val="007671E8"/>
    <w:rsid w:val="0076756A"/>
    <w:rsid w:val="00767681"/>
    <w:rsid w:val="007701C7"/>
    <w:rsid w:val="00770554"/>
    <w:rsid w:val="007705A5"/>
    <w:rsid w:val="0077060B"/>
    <w:rsid w:val="007710D2"/>
    <w:rsid w:val="007715F0"/>
    <w:rsid w:val="0077241D"/>
    <w:rsid w:val="007726A7"/>
    <w:rsid w:val="00772EE7"/>
    <w:rsid w:val="007731B6"/>
    <w:rsid w:val="00773225"/>
    <w:rsid w:val="007733CA"/>
    <w:rsid w:val="00773855"/>
    <w:rsid w:val="00773E7F"/>
    <w:rsid w:val="00774635"/>
    <w:rsid w:val="007763C9"/>
    <w:rsid w:val="00776B94"/>
    <w:rsid w:val="007771F6"/>
    <w:rsid w:val="00777A85"/>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0D2"/>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653"/>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4E0"/>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789"/>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7BB"/>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75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37C"/>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E6F78"/>
    <w:rsid w:val="008F0860"/>
    <w:rsid w:val="008F0AA3"/>
    <w:rsid w:val="008F0B0E"/>
    <w:rsid w:val="008F1592"/>
    <w:rsid w:val="008F1D44"/>
    <w:rsid w:val="008F2AAB"/>
    <w:rsid w:val="008F2B30"/>
    <w:rsid w:val="008F2C1A"/>
    <w:rsid w:val="008F2D01"/>
    <w:rsid w:val="008F3BBD"/>
    <w:rsid w:val="008F42E8"/>
    <w:rsid w:val="008F5924"/>
    <w:rsid w:val="008F71DF"/>
    <w:rsid w:val="008F7C5B"/>
    <w:rsid w:val="009001E2"/>
    <w:rsid w:val="009003C5"/>
    <w:rsid w:val="00900683"/>
    <w:rsid w:val="009007C1"/>
    <w:rsid w:val="00900815"/>
    <w:rsid w:val="00900A0C"/>
    <w:rsid w:val="00900AAF"/>
    <w:rsid w:val="0090103D"/>
    <w:rsid w:val="00901481"/>
    <w:rsid w:val="009015F8"/>
    <w:rsid w:val="00902458"/>
    <w:rsid w:val="00902695"/>
    <w:rsid w:val="009027B2"/>
    <w:rsid w:val="00902A47"/>
    <w:rsid w:val="00903AAC"/>
    <w:rsid w:val="00903AEC"/>
    <w:rsid w:val="00903B5F"/>
    <w:rsid w:val="00903D3B"/>
    <w:rsid w:val="00904233"/>
    <w:rsid w:val="00905299"/>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09CE"/>
    <w:rsid w:val="00941A32"/>
    <w:rsid w:val="0094206C"/>
    <w:rsid w:val="009423CF"/>
    <w:rsid w:val="00942D85"/>
    <w:rsid w:val="00943E67"/>
    <w:rsid w:val="00944701"/>
    <w:rsid w:val="00944938"/>
    <w:rsid w:val="009449F3"/>
    <w:rsid w:val="00944AB8"/>
    <w:rsid w:val="00944B00"/>
    <w:rsid w:val="00944B08"/>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372"/>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300"/>
    <w:rsid w:val="00974771"/>
    <w:rsid w:val="009747EE"/>
    <w:rsid w:val="00975530"/>
    <w:rsid w:val="00975769"/>
    <w:rsid w:val="009758BE"/>
    <w:rsid w:val="00975E58"/>
    <w:rsid w:val="00976008"/>
    <w:rsid w:val="00976027"/>
    <w:rsid w:val="00977AA8"/>
    <w:rsid w:val="00977AFB"/>
    <w:rsid w:val="00980D6B"/>
    <w:rsid w:val="00981595"/>
    <w:rsid w:val="00981BC7"/>
    <w:rsid w:val="00981CCF"/>
    <w:rsid w:val="0098252E"/>
    <w:rsid w:val="00982C21"/>
    <w:rsid w:val="009830F2"/>
    <w:rsid w:val="0098312C"/>
    <w:rsid w:val="0098386B"/>
    <w:rsid w:val="00983AF2"/>
    <w:rsid w:val="009851C0"/>
    <w:rsid w:val="00985A0A"/>
    <w:rsid w:val="00987986"/>
    <w:rsid w:val="00987C7F"/>
    <w:rsid w:val="0099101F"/>
    <w:rsid w:val="00992384"/>
    <w:rsid w:val="00992886"/>
    <w:rsid w:val="00992FBC"/>
    <w:rsid w:val="009930F1"/>
    <w:rsid w:val="00993160"/>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AF5"/>
    <w:rsid w:val="009A7C60"/>
    <w:rsid w:val="009A7D84"/>
    <w:rsid w:val="009A7D99"/>
    <w:rsid w:val="009B000D"/>
    <w:rsid w:val="009B0095"/>
    <w:rsid w:val="009B0606"/>
    <w:rsid w:val="009B099B"/>
    <w:rsid w:val="009B0BAE"/>
    <w:rsid w:val="009B0BF2"/>
    <w:rsid w:val="009B0D53"/>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5FC"/>
    <w:rsid w:val="009C3B07"/>
    <w:rsid w:val="009C3B7F"/>
    <w:rsid w:val="009C5160"/>
    <w:rsid w:val="009C5191"/>
    <w:rsid w:val="009C5375"/>
    <w:rsid w:val="009C55BC"/>
    <w:rsid w:val="009C592B"/>
    <w:rsid w:val="009C5DFB"/>
    <w:rsid w:val="009C6155"/>
    <w:rsid w:val="009C621F"/>
    <w:rsid w:val="009C6643"/>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9C9"/>
    <w:rsid w:val="00A12D11"/>
    <w:rsid w:val="00A12E51"/>
    <w:rsid w:val="00A1307A"/>
    <w:rsid w:val="00A134D2"/>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16AB"/>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8C2"/>
    <w:rsid w:val="00A46DF4"/>
    <w:rsid w:val="00A47604"/>
    <w:rsid w:val="00A5055E"/>
    <w:rsid w:val="00A5067B"/>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0F1A"/>
    <w:rsid w:val="00A611DA"/>
    <w:rsid w:val="00A6149E"/>
    <w:rsid w:val="00A615AE"/>
    <w:rsid w:val="00A61A3B"/>
    <w:rsid w:val="00A61FA0"/>
    <w:rsid w:val="00A62617"/>
    <w:rsid w:val="00A62621"/>
    <w:rsid w:val="00A631B8"/>
    <w:rsid w:val="00A63263"/>
    <w:rsid w:val="00A63343"/>
    <w:rsid w:val="00A633C0"/>
    <w:rsid w:val="00A636C7"/>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C70"/>
    <w:rsid w:val="00AA4F3F"/>
    <w:rsid w:val="00AA513A"/>
    <w:rsid w:val="00AA576E"/>
    <w:rsid w:val="00AA749C"/>
    <w:rsid w:val="00AB03FB"/>
    <w:rsid w:val="00AB0C38"/>
    <w:rsid w:val="00AB0EB3"/>
    <w:rsid w:val="00AB149A"/>
    <w:rsid w:val="00AB1839"/>
    <w:rsid w:val="00AB225D"/>
    <w:rsid w:val="00AB50C2"/>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131"/>
    <w:rsid w:val="00AD560A"/>
    <w:rsid w:val="00AD5D4C"/>
    <w:rsid w:val="00AD5EFB"/>
    <w:rsid w:val="00AD5F91"/>
    <w:rsid w:val="00AD64DE"/>
    <w:rsid w:val="00AD656B"/>
    <w:rsid w:val="00AD67D1"/>
    <w:rsid w:val="00AD6811"/>
    <w:rsid w:val="00AD6A3A"/>
    <w:rsid w:val="00AD6D0D"/>
    <w:rsid w:val="00AD6F78"/>
    <w:rsid w:val="00AD70A9"/>
    <w:rsid w:val="00AD7935"/>
    <w:rsid w:val="00AE02A0"/>
    <w:rsid w:val="00AE0EF4"/>
    <w:rsid w:val="00AE111E"/>
    <w:rsid w:val="00AE1C92"/>
    <w:rsid w:val="00AE3228"/>
    <w:rsid w:val="00AE512F"/>
    <w:rsid w:val="00AE58B5"/>
    <w:rsid w:val="00AE5B01"/>
    <w:rsid w:val="00AE65EF"/>
    <w:rsid w:val="00AE6966"/>
    <w:rsid w:val="00AE6E6C"/>
    <w:rsid w:val="00AE6F53"/>
    <w:rsid w:val="00AE7132"/>
    <w:rsid w:val="00AF072A"/>
    <w:rsid w:val="00AF0A5C"/>
    <w:rsid w:val="00AF0A7F"/>
    <w:rsid w:val="00AF1780"/>
    <w:rsid w:val="00AF17B3"/>
    <w:rsid w:val="00AF197E"/>
    <w:rsid w:val="00AF1EEA"/>
    <w:rsid w:val="00AF1F0E"/>
    <w:rsid w:val="00AF204F"/>
    <w:rsid w:val="00AF27F9"/>
    <w:rsid w:val="00AF2951"/>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4DED"/>
    <w:rsid w:val="00B05301"/>
    <w:rsid w:val="00B063C6"/>
    <w:rsid w:val="00B06CD0"/>
    <w:rsid w:val="00B06E72"/>
    <w:rsid w:val="00B06FBE"/>
    <w:rsid w:val="00B073EA"/>
    <w:rsid w:val="00B074C5"/>
    <w:rsid w:val="00B07B88"/>
    <w:rsid w:val="00B07F4A"/>
    <w:rsid w:val="00B1003E"/>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6CE"/>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4FE1"/>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33C"/>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1F89"/>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6E2"/>
    <w:rsid w:val="00BC1D8E"/>
    <w:rsid w:val="00BC26AA"/>
    <w:rsid w:val="00BC2739"/>
    <w:rsid w:val="00BC2835"/>
    <w:rsid w:val="00BC2ED1"/>
    <w:rsid w:val="00BC3DBE"/>
    <w:rsid w:val="00BC472A"/>
    <w:rsid w:val="00BC51BC"/>
    <w:rsid w:val="00BC52D6"/>
    <w:rsid w:val="00BC57E5"/>
    <w:rsid w:val="00BC5ADF"/>
    <w:rsid w:val="00BC60F8"/>
    <w:rsid w:val="00BC66A9"/>
    <w:rsid w:val="00BC679E"/>
    <w:rsid w:val="00BC6A75"/>
    <w:rsid w:val="00BC737D"/>
    <w:rsid w:val="00BC7D32"/>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6CB9"/>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4C5"/>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351A"/>
    <w:rsid w:val="00BF411F"/>
    <w:rsid w:val="00BF4A91"/>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5A7"/>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424"/>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0F7"/>
    <w:rsid w:val="00C50C7C"/>
    <w:rsid w:val="00C50CB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6D06"/>
    <w:rsid w:val="00C676E6"/>
    <w:rsid w:val="00C6781C"/>
    <w:rsid w:val="00C67F7F"/>
    <w:rsid w:val="00C7048E"/>
    <w:rsid w:val="00C7052F"/>
    <w:rsid w:val="00C70CF1"/>
    <w:rsid w:val="00C70FAB"/>
    <w:rsid w:val="00C712F1"/>
    <w:rsid w:val="00C71B04"/>
    <w:rsid w:val="00C725FC"/>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2F95"/>
    <w:rsid w:val="00C938C7"/>
    <w:rsid w:val="00C94E97"/>
    <w:rsid w:val="00C9554B"/>
    <w:rsid w:val="00C95B1E"/>
    <w:rsid w:val="00C964A0"/>
    <w:rsid w:val="00C97E15"/>
    <w:rsid w:val="00CA1DD1"/>
    <w:rsid w:val="00CA23BC"/>
    <w:rsid w:val="00CA2BD0"/>
    <w:rsid w:val="00CA361C"/>
    <w:rsid w:val="00CA378F"/>
    <w:rsid w:val="00CA37E7"/>
    <w:rsid w:val="00CA38BA"/>
    <w:rsid w:val="00CA4CB1"/>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727"/>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3F78"/>
    <w:rsid w:val="00D2441A"/>
    <w:rsid w:val="00D2481D"/>
    <w:rsid w:val="00D24AF5"/>
    <w:rsid w:val="00D24BD8"/>
    <w:rsid w:val="00D25E66"/>
    <w:rsid w:val="00D261AD"/>
    <w:rsid w:val="00D26C58"/>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6F8"/>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03"/>
    <w:rsid w:val="00D650E9"/>
    <w:rsid w:val="00D65753"/>
    <w:rsid w:val="00D65B22"/>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1C3"/>
    <w:rsid w:val="00D84205"/>
    <w:rsid w:val="00D848A9"/>
    <w:rsid w:val="00D850DB"/>
    <w:rsid w:val="00D85428"/>
    <w:rsid w:val="00D85DAB"/>
    <w:rsid w:val="00D86080"/>
    <w:rsid w:val="00D877A3"/>
    <w:rsid w:val="00D906ED"/>
    <w:rsid w:val="00D909E3"/>
    <w:rsid w:val="00D911A4"/>
    <w:rsid w:val="00D913DA"/>
    <w:rsid w:val="00D91C92"/>
    <w:rsid w:val="00D922BF"/>
    <w:rsid w:val="00D9253C"/>
    <w:rsid w:val="00D944B4"/>
    <w:rsid w:val="00D947D5"/>
    <w:rsid w:val="00D9524A"/>
    <w:rsid w:val="00D957BB"/>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054"/>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B76D8"/>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5A5"/>
    <w:rsid w:val="00DC6C47"/>
    <w:rsid w:val="00DC6F0D"/>
    <w:rsid w:val="00DC777C"/>
    <w:rsid w:val="00DD0264"/>
    <w:rsid w:val="00DD190D"/>
    <w:rsid w:val="00DD2167"/>
    <w:rsid w:val="00DD2A07"/>
    <w:rsid w:val="00DD3E7D"/>
    <w:rsid w:val="00DD4099"/>
    <w:rsid w:val="00DD4622"/>
    <w:rsid w:val="00DD5190"/>
    <w:rsid w:val="00DD5A48"/>
    <w:rsid w:val="00DD6391"/>
    <w:rsid w:val="00DD670B"/>
    <w:rsid w:val="00DD723C"/>
    <w:rsid w:val="00DD73F7"/>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3FB"/>
    <w:rsid w:val="00DF643B"/>
    <w:rsid w:val="00DF69C9"/>
    <w:rsid w:val="00DF6EB7"/>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13B"/>
    <w:rsid w:val="00E11952"/>
    <w:rsid w:val="00E11CFE"/>
    <w:rsid w:val="00E121D4"/>
    <w:rsid w:val="00E12AD7"/>
    <w:rsid w:val="00E133CE"/>
    <w:rsid w:val="00E1390B"/>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30E"/>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A08"/>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587E"/>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1E2D"/>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6374"/>
    <w:rsid w:val="00E97232"/>
    <w:rsid w:val="00E9742B"/>
    <w:rsid w:val="00EA025D"/>
    <w:rsid w:val="00EA05A8"/>
    <w:rsid w:val="00EA171F"/>
    <w:rsid w:val="00EA1C44"/>
    <w:rsid w:val="00EA1DD8"/>
    <w:rsid w:val="00EA2539"/>
    <w:rsid w:val="00EA2914"/>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696"/>
    <w:rsid w:val="00EB7814"/>
    <w:rsid w:val="00EB7FCD"/>
    <w:rsid w:val="00EC028B"/>
    <w:rsid w:val="00EC0F4A"/>
    <w:rsid w:val="00EC1368"/>
    <w:rsid w:val="00EC2145"/>
    <w:rsid w:val="00EC2C81"/>
    <w:rsid w:val="00EC3524"/>
    <w:rsid w:val="00EC3750"/>
    <w:rsid w:val="00EC3941"/>
    <w:rsid w:val="00EC3A00"/>
    <w:rsid w:val="00EC3BAB"/>
    <w:rsid w:val="00EC43BA"/>
    <w:rsid w:val="00EC4441"/>
    <w:rsid w:val="00EC4A7B"/>
    <w:rsid w:val="00EC59E6"/>
    <w:rsid w:val="00EC6971"/>
    <w:rsid w:val="00EC7338"/>
    <w:rsid w:val="00EC7EAC"/>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AEA"/>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D8"/>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1A8"/>
    <w:rsid w:val="00F13609"/>
    <w:rsid w:val="00F14806"/>
    <w:rsid w:val="00F14ADF"/>
    <w:rsid w:val="00F15624"/>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6E6"/>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4773F"/>
    <w:rsid w:val="00F5038B"/>
    <w:rsid w:val="00F5082C"/>
    <w:rsid w:val="00F50C28"/>
    <w:rsid w:val="00F510F1"/>
    <w:rsid w:val="00F513A3"/>
    <w:rsid w:val="00F51B45"/>
    <w:rsid w:val="00F52274"/>
    <w:rsid w:val="00F525C1"/>
    <w:rsid w:val="00F5270B"/>
    <w:rsid w:val="00F52C66"/>
    <w:rsid w:val="00F52D62"/>
    <w:rsid w:val="00F5372B"/>
    <w:rsid w:val="00F54586"/>
    <w:rsid w:val="00F54641"/>
    <w:rsid w:val="00F54AC7"/>
    <w:rsid w:val="00F54CC2"/>
    <w:rsid w:val="00F55203"/>
    <w:rsid w:val="00F55363"/>
    <w:rsid w:val="00F569F0"/>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AB"/>
    <w:rsid w:val="00F86DB2"/>
    <w:rsid w:val="00F9075C"/>
    <w:rsid w:val="00F90F60"/>
    <w:rsid w:val="00F91388"/>
    <w:rsid w:val="00F914E9"/>
    <w:rsid w:val="00F92373"/>
    <w:rsid w:val="00F92E9B"/>
    <w:rsid w:val="00F93160"/>
    <w:rsid w:val="00F940C3"/>
    <w:rsid w:val="00F94117"/>
    <w:rsid w:val="00F94B4E"/>
    <w:rsid w:val="00F94E93"/>
    <w:rsid w:val="00F954DC"/>
    <w:rsid w:val="00F95B88"/>
    <w:rsid w:val="00F9653B"/>
    <w:rsid w:val="00F96A22"/>
    <w:rsid w:val="00F971E1"/>
    <w:rsid w:val="00F97532"/>
    <w:rsid w:val="00F97F70"/>
    <w:rsid w:val="00FA2795"/>
    <w:rsid w:val="00FA30BB"/>
    <w:rsid w:val="00FA3B9A"/>
    <w:rsid w:val="00FA503F"/>
    <w:rsid w:val="00FA504E"/>
    <w:rsid w:val="00FA59E8"/>
    <w:rsid w:val="00FA5AC5"/>
    <w:rsid w:val="00FA6375"/>
    <w:rsid w:val="00FA66E8"/>
    <w:rsid w:val="00FA6D3B"/>
    <w:rsid w:val="00FA7BA7"/>
    <w:rsid w:val="00FA7D16"/>
    <w:rsid w:val="00FB03A5"/>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4904"/>
    <w:rsid w:val="00FC492D"/>
    <w:rsid w:val="00FC4C40"/>
    <w:rsid w:val="00FC4FA0"/>
    <w:rsid w:val="00FC55E4"/>
    <w:rsid w:val="00FC6444"/>
    <w:rsid w:val="00FC7212"/>
    <w:rsid w:val="00FC7C1D"/>
    <w:rsid w:val="00FC7F9E"/>
    <w:rsid w:val="00FD0E83"/>
    <w:rsid w:val="00FD13C9"/>
    <w:rsid w:val="00FD13D5"/>
    <w:rsid w:val="00FD2507"/>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33C"/>
    <w:pPr>
      <w:spacing w:before="360" w:after="360"/>
    </w:pPr>
    <w:rPr>
      <w:rFonts w:ascii="Arial" w:hAnsi="Arial"/>
      <w:szCs w:val="24"/>
      <w:lang w:val="en-AU" w:eastAsia="en-AU"/>
    </w:rPr>
  </w:style>
  <w:style w:type="paragraph" w:styleId="Heading1">
    <w:name w:val="heading 1"/>
    <w:basedOn w:val="Normal"/>
    <w:next w:val="Normal"/>
    <w:link w:val="Heading1Char"/>
    <w:qFormat/>
    <w:rsid w:val="00CC3727"/>
    <w:pPr>
      <w:outlineLvl w:val="0"/>
    </w:pPr>
    <w:rPr>
      <w:rFonts w:cs="Arial"/>
      <w:b/>
      <w:caps/>
      <w:sz w:val="28"/>
      <w:szCs w:val="28"/>
    </w:rPr>
  </w:style>
  <w:style w:type="paragraph" w:styleId="Heading2">
    <w:name w:val="heading 2"/>
    <w:basedOn w:val="Normal"/>
    <w:next w:val="Normal"/>
    <w:qFormat/>
    <w:rsid w:val="00665821"/>
    <w:pPr>
      <w:outlineLvl w:val="1"/>
    </w:pPr>
    <w:rPr>
      <w:rFonts w:cs="Arial"/>
      <w:b/>
      <w:bCs/>
      <w:caps/>
      <w:szCs w:val="20"/>
    </w:rPr>
  </w:style>
  <w:style w:type="paragraph" w:styleId="Heading3">
    <w:name w:val="heading 3"/>
    <w:basedOn w:val="Normal"/>
    <w:next w:val="Normal"/>
    <w:autoRedefine/>
    <w:qFormat/>
    <w:rsid w:val="00E1390B"/>
    <w:pPr>
      <w:outlineLvl w:val="2"/>
    </w:pPr>
    <w:rPr>
      <w:rFonts w:eastAsia="Arial Narrow" w:cs="Arial"/>
      <w:b/>
      <w:bCs/>
      <w:szCs w:val="20"/>
    </w:rPr>
  </w:style>
  <w:style w:type="paragraph" w:styleId="Heading4">
    <w:name w:val="heading 4"/>
    <w:basedOn w:val="Normal"/>
    <w:next w:val="Normal"/>
    <w:qFormat/>
    <w:rsid w:val="00B7433C"/>
    <w:pPr>
      <w:outlineLvl w:val="3"/>
    </w:pPr>
    <w:rPr>
      <w:rFonts w:cs="Arial"/>
      <w:i/>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3727"/>
    <w:rPr>
      <w:rFonts w:ascii="Arial" w:hAnsi="Arial" w:cs="Arial"/>
      <w:b/>
      <w:caps/>
      <w:sz w:val="28"/>
      <w:szCs w:val="28"/>
      <w:lang w:val="en-AU" w:eastAsia="en-AU"/>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uiPriority w:val="99"/>
    <w:rsid w:val="00E161F2"/>
    <w:pPr>
      <w:tabs>
        <w:tab w:val="center" w:pos="4513"/>
        <w:tab w:val="right" w:pos="9026"/>
      </w:tabs>
    </w:pPr>
    <w:rPr>
      <w:sz w:val="18"/>
    </w:rPr>
  </w:style>
  <w:style w:type="character" w:customStyle="1" w:styleId="FooterChar">
    <w:name w:val="Footer Char"/>
    <w:link w:val="Footer"/>
    <w:uiPriority w:val="99"/>
    <w:rsid w:val="00E161F2"/>
    <w:rPr>
      <w:rFonts w:ascii="Arial" w:hAnsi="Arial"/>
      <w:sz w:val="18"/>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link w:val="BalloonText"/>
    <w:uiPriority w:val="99"/>
    <w:rsid w:val="003060D5"/>
    <w:rPr>
      <w:rFonts w:ascii="Tahoma" w:hAnsi="Tahoma" w:cs="Tahoma"/>
      <w:sz w:val="16"/>
      <w:szCs w:val="16"/>
    </w:rPr>
  </w:style>
  <w:style w:type="table" w:styleId="TableGrid">
    <w:name w:val="Table Grid"/>
    <w:basedOn w:val="TableNormal"/>
    <w:rsid w:val="008A3B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A316AB"/>
    <w:pPr>
      <w:spacing w:before="120"/>
    </w:pPr>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1"/>
      </w:numPr>
    </w:pPr>
  </w:style>
  <w:style w:type="paragraph" w:styleId="ListBullet2">
    <w:name w:val="List Bullet 2"/>
    <w:basedOn w:val="Normal"/>
    <w:rsid w:val="000B2144"/>
    <w:pPr>
      <w:numPr>
        <w:numId w:val="2"/>
      </w:numPr>
    </w:pPr>
  </w:style>
  <w:style w:type="paragraph" w:styleId="ListBullet3">
    <w:name w:val="List Bullet 3"/>
    <w:basedOn w:val="Normal"/>
    <w:rsid w:val="000B2144"/>
    <w:pPr>
      <w:numPr>
        <w:numId w:val="3"/>
      </w:numPr>
    </w:pPr>
  </w:style>
  <w:style w:type="paragraph" w:styleId="ListNumber">
    <w:name w:val="List Number"/>
    <w:basedOn w:val="Normal"/>
    <w:rsid w:val="00A341AD"/>
    <w:pPr>
      <w:numPr>
        <w:numId w:val="6"/>
      </w:numPr>
    </w:pPr>
  </w:style>
  <w:style w:type="paragraph" w:styleId="TOC2">
    <w:name w:val="toc 2"/>
    <w:basedOn w:val="Normal"/>
    <w:next w:val="Normal"/>
    <w:autoRedefine/>
    <w:uiPriority w:val="39"/>
    <w:rsid w:val="00213DB0"/>
    <w:pPr>
      <w:ind w:left="200"/>
    </w:pPr>
  </w:style>
  <w:style w:type="paragraph" w:styleId="ListNumber2">
    <w:name w:val="List Number 2"/>
    <w:basedOn w:val="Normal"/>
    <w:rsid w:val="00A60C1A"/>
    <w:pPr>
      <w:numPr>
        <w:numId w:val="5"/>
      </w:numPr>
    </w:pPr>
  </w:style>
  <w:style w:type="paragraph" w:styleId="ListNumber3">
    <w:name w:val="List Number 3"/>
    <w:basedOn w:val="Normal"/>
    <w:rsid w:val="00F971E1"/>
    <w:pPr>
      <w:numPr>
        <w:numId w:val="4"/>
      </w:numPr>
    </w:pPr>
  </w:style>
  <w:style w:type="paragraph" w:styleId="TOC3">
    <w:name w:val="toc 3"/>
    <w:basedOn w:val="Normal"/>
    <w:next w:val="Normal"/>
    <w:autoRedefine/>
    <w:uiPriority w:val="39"/>
    <w:rsid w:val="00C97E15"/>
    <w:pPr>
      <w:ind w:left="400"/>
    </w:pPr>
  </w:style>
  <w:style w:type="paragraph" w:styleId="TOC1">
    <w:name w:val="toc 1"/>
    <w:basedOn w:val="Normal"/>
    <w:next w:val="Normal"/>
    <w:autoRedefine/>
    <w:uiPriority w:val="39"/>
    <w:rsid w:val="00C97E15"/>
  </w:style>
  <w:style w:type="character" w:styleId="Hyperlink">
    <w:name w:val="Hyperlink"/>
    <w:uiPriority w:val="99"/>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customStyle="1" w:styleId="SHeading2">
    <w:name w:val="S_Heading 2"/>
    <w:basedOn w:val="Heading1"/>
    <w:next w:val="Normal"/>
    <w:link w:val="SHeading2Char"/>
    <w:autoRedefine/>
    <w:qFormat/>
    <w:rsid w:val="00C66D06"/>
    <w:pPr>
      <w:spacing w:after="120"/>
    </w:pPr>
    <w:rPr>
      <w:sz w:val="20"/>
    </w:rPr>
  </w:style>
  <w:style w:type="paragraph" w:customStyle="1" w:styleId="SHeading3">
    <w:name w:val="S_Heading 3"/>
    <w:basedOn w:val="SHeading2"/>
    <w:next w:val="Normal"/>
    <w:link w:val="SHeading3Char"/>
    <w:qFormat/>
    <w:rsid w:val="00C66D06"/>
    <w:rPr>
      <w:caps w:val="0"/>
      <w:szCs w:val="20"/>
    </w:rPr>
  </w:style>
  <w:style w:type="character" w:customStyle="1" w:styleId="SHeading2Char">
    <w:name w:val="S_Heading 2 Char"/>
    <w:link w:val="SHeading2"/>
    <w:rsid w:val="00C66D06"/>
    <w:rPr>
      <w:rFonts w:ascii="Arial" w:eastAsia="Times New Roman" w:hAnsi="Arial" w:cs="Times New Roman"/>
      <w:b/>
      <w:bCs/>
      <w:caps/>
      <w:color w:val="000000"/>
      <w:szCs w:val="28"/>
    </w:rPr>
  </w:style>
  <w:style w:type="character" w:customStyle="1" w:styleId="SHeading3Char">
    <w:name w:val="S_Heading 3 Char"/>
    <w:link w:val="SHeading3"/>
    <w:rsid w:val="00C66D06"/>
    <w:rPr>
      <w:rFonts w:ascii="Arial" w:eastAsia="Times New Roman" w:hAnsi="Arial" w:cs="Arial"/>
      <w:b/>
      <w:bCs/>
      <w:caps/>
      <w:color w:val="000000"/>
      <w:szCs w:val="28"/>
    </w:rPr>
  </w:style>
  <w:style w:type="paragraph" w:customStyle="1" w:styleId="ColorfulList-Accent11">
    <w:name w:val="Colorful List - Accent 11"/>
    <w:basedOn w:val="Normal"/>
    <w:uiPriority w:val="34"/>
    <w:qFormat/>
    <w:rsid w:val="00D65003"/>
    <w:pPr>
      <w:ind w:left="720"/>
      <w:contextualSpacing/>
    </w:pPr>
  </w:style>
  <w:style w:type="character" w:styleId="FollowedHyperlink">
    <w:name w:val="FollowedHyperlink"/>
    <w:uiPriority w:val="99"/>
    <w:unhideWhenUsed/>
    <w:rsid w:val="00165722"/>
    <w:rPr>
      <w:color w:val="800080"/>
      <w:u w:val="single"/>
    </w:rPr>
  </w:style>
  <w:style w:type="character" w:customStyle="1" w:styleId="apple-converted-space">
    <w:name w:val="apple-converted-space"/>
    <w:basedOn w:val="DefaultParagraphFont"/>
    <w:rsid w:val="00165722"/>
  </w:style>
  <w:style w:type="paragraph" w:customStyle="1" w:styleId="paragraph">
    <w:name w:val="paragraph"/>
    <w:basedOn w:val="Normal"/>
    <w:rsid w:val="00165722"/>
    <w:pPr>
      <w:spacing w:before="100" w:beforeAutospacing="1" w:after="100" w:afterAutospacing="1"/>
    </w:pPr>
    <w:rPr>
      <w:rFonts w:ascii="Times" w:eastAsia="MS Mincho" w:hAnsi="Times"/>
      <w:szCs w:val="20"/>
      <w:lang w:eastAsia="en-US"/>
    </w:rPr>
  </w:style>
  <w:style w:type="paragraph" w:customStyle="1" w:styleId="paragraphsub">
    <w:name w:val="paragraphsub"/>
    <w:basedOn w:val="Normal"/>
    <w:rsid w:val="00165722"/>
    <w:pPr>
      <w:spacing w:before="100" w:beforeAutospacing="1" w:after="100" w:afterAutospacing="1"/>
    </w:pPr>
    <w:rPr>
      <w:rFonts w:ascii="Times" w:eastAsia="MS Mincho" w:hAnsi="Times"/>
      <w:szCs w:val="20"/>
      <w:lang w:eastAsia="en-US"/>
    </w:rPr>
  </w:style>
  <w:style w:type="character" w:styleId="PageNumber">
    <w:name w:val="page number"/>
    <w:basedOn w:val="DefaultParagraphFont"/>
    <w:uiPriority w:val="99"/>
    <w:unhideWhenUsed/>
    <w:rsid w:val="00165722"/>
  </w:style>
  <w:style w:type="paragraph" w:customStyle="1" w:styleId="Normal1">
    <w:name w:val="Normal1"/>
    <w:rsid w:val="00165722"/>
    <w:rPr>
      <w:rFonts w:ascii="Cambria" w:eastAsia="Cambria" w:hAnsi="Cambria" w:cs="Cambria"/>
      <w:color w:val="000000"/>
      <w:sz w:val="24"/>
      <w:szCs w:val="24"/>
      <w:lang w:eastAsia="ja-JP"/>
    </w:rPr>
  </w:style>
  <w:style w:type="paragraph" w:styleId="NormalWeb">
    <w:name w:val="Normal (Web)"/>
    <w:basedOn w:val="Normal"/>
    <w:uiPriority w:val="99"/>
    <w:unhideWhenUsed/>
    <w:rsid w:val="00165722"/>
    <w:rPr>
      <w:rFonts w:ascii="Times New Roman" w:eastAsia="MS Mincho" w:hAnsi="Times New Roman"/>
      <w:sz w:val="24"/>
      <w:lang w:eastAsia="en-US"/>
    </w:rPr>
  </w:style>
  <w:style w:type="character" w:styleId="CommentReference">
    <w:name w:val="annotation reference"/>
    <w:uiPriority w:val="99"/>
    <w:unhideWhenUsed/>
    <w:rsid w:val="00165722"/>
    <w:rPr>
      <w:sz w:val="18"/>
      <w:szCs w:val="18"/>
    </w:rPr>
  </w:style>
  <w:style w:type="paragraph" w:styleId="CommentText">
    <w:name w:val="annotation text"/>
    <w:basedOn w:val="Normal"/>
    <w:link w:val="CommentTextChar"/>
    <w:uiPriority w:val="99"/>
    <w:unhideWhenUsed/>
    <w:rsid w:val="00165722"/>
    <w:rPr>
      <w:rFonts w:ascii="Cambria" w:eastAsia="MS Mincho" w:hAnsi="Cambria"/>
      <w:sz w:val="24"/>
      <w:lang w:eastAsia="en-US"/>
    </w:rPr>
  </w:style>
  <w:style w:type="character" w:customStyle="1" w:styleId="CommentTextChar">
    <w:name w:val="Comment Text Char"/>
    <w:link w:val="CommentText"/>
    <w:uiPriority w:val="99"/>
    <w:rsid w:val="00165722"/>
    <w:rPr>
      <w:rFonts w:ascii="Cambria" w:eastAsia="MS Mincho" w:hAnsi="Cambria"/>
      <w:sz w:val="24"/>
      <w:szCs w:val="24"/>
      <w:lang w:eastAsia="en-US"/>
    </w:rPr>
  </w:style>
  <w:style w:type="paragraph" w:styleId="CommentSubject">
    <w:name w:val="annotation subject"/>
    <w:basedOn w:val="CommentText"/>
    <w:next w:val="CommentText"/>
    <w:link w:val="CommentSubjectChar"/>
    <w:uiPriority w:val="99"/>
    <w:unhideWhenUsed/>
    <w:rsid w:val="00165722"/>
    <w:rPr>
      <w:b/>
      <w:bCs/>
      <w:sz w:val="20"/>
      <w:szCs w:val="20"/>
    </w:rPr>
  </w:style>
  <w:style w:type="character" w:customStyle="1" w:styleId="CommentSubjectChar">
    <w:name w:val="Comment Subject Char"/>
    <w:link w:val="CommentSubject"/>
    <w:uiPriority w:val="99"/>
    <w:rsid w:val="00165722"/>
    <w:rPr>
      <w:rFonts w:ascii="Cambria" w:eastAsia="MS Mincho" w:hAnsi="Cambria"/>
      <w:b/>
      <w:bCs/>
      <w:sz w:val="24"/>
      <w:szCs w:val="24"/>
      <w:lang w:eastAsia="en-US"/>
    </w:rPr>
  </w:style>
  <w:style w:type="paragraph" w:customStyle="1" w:styleId="ColorfulShading-Accent11">
    <w:name w:val="Colorful Shading - Accent 11"/>
    <w:hidden/>
    <w:uiPriority w:val="99"/>
    <w:semiHidden/>
    <w:rsid w:val="00165722"/>
    <w:rPr>
      <w:rFonts w:ascii="Cambria" w:eastAsia="MS Mincho" w:hAnsi="Cambria"/>
      <w:sz w:val="24"/>
      <w:szCs w:val="24"/>
      <w:lang w:val="en-AU"/>
    </w:rPr>
  </w:style>
  <w:style w:type="paragraph" w:styleId="FootnoteText">
    <w:name w:val="footnote text"/>
    <w:basedOn w:val="Normal"/>
    <w:link w:val="FootnoteTextChar"/>
    <w:uiPriority w:val="99"/>
    <w:unhideWhenUsed/>
    <w:rsid w:val="00165722"/>
    <w:rPr>
      <w:rFonts w:ascii="Cambria" w:eastAsia="MS Mincho" w:hAnsi="Cambria"/>
      <w:sz w:val="24"/>
      <w:lang w:eastAsia="en-US"/>
    </w:rPr>
  </w:style>
  <w:style w:type="character" w:customStyle="1" w:styleId="FootnoteTextChar">
    <w:name w:val="Footnote Text Char"/>
    <w:link w:val="FootnoteText"/>
    <w:uiPriority w:val="99"/>
    <w:rsid w:val="00165722"/>
    <w:rPr>
      <w:rFonts w:ascii="Cambria" w:eastAsia="MS Mincho" w:hAnsi="Cambria"/>
      <w:sz w:val="24"/>
      <w:szCs w:val="24"/>
      <w:lang w:eastAsia="en-US"/>
    </w:rPr>
  </w:style>
  <w:style w:type="character" w:styleId="FootnoteReference">
    <w:name w:val="footnote reference"/>
    <w:uiPriority w:val="99"/>
    <w:unhideWhenUsed/>
    <w:rsid w:val="00165722"/>
    <w:rPr>
      <w:vertAlign w:val="superscript"/>
    </w:rPr>
  </w:style>
  <w:style w:type="paragraph" w:styleId="EndnoteText">
    <w:name w:val="endnote text"/>
    <w:basedOn w:val="Normal"/>
    <w:link w:val="EndnoteTextChar"/>
    <w:rsid w:val="00165722"/>
    <w:rPr>
      <w:rFonts w:eastAsia="Cambria"/>
      <w:szCs w:val="20"/>
      <w:lang w:eastAsia="en-US"/>
    </w:rPr>
  </w:style>
  <w:style w:type="character" w:customStyle="1" w:styleId="EndnoteTextChar">
    <w:name w:val="Endnote Text Char"/>
    <w:link w:val="EndnoteText"/>
    <w:rsid w:val="00165722"/>
    <w:rPr>
      <w:rFonts w:ascii="Arial" w:eastAsia="Cambria" w:hAnsi="Arial"/>
      <w:lang w:eastAsia="en-US"/>
    </w:rPr>
  </w:style>
  <w:style w:type="character" w:styleId="Emphasis">
    <w:name w:val="Emphasis"/>
    <w:uiPriority w:val="20"/>
    <w:qFormat/>
    <w:rsid w:val="00165722"/>
    <w:rPr>
      <w:i/>
      <w:iCs/>
    </w:rPr>
  </w:style>
  <w:style w:type="character" w:styleId="EndnoteReference">
    <w:name w:val="endnote reference"/>
    <w:uiPriority w:val="99"/>
    <w:unhideWhenUsed/>
    <w:rsid w:val="00165722"/>
    <w:rPr>
      <w:vertAlign w:val="superscript"/>
    </w:rPr>
  </w:style>
  <w:style w:type="paragraph" w:customStyle="1" w:styleId="Normal10">
    <w:name w:val="Normal1"/>
    <w:rsid w:val="00165722"/>
    <w:rPr>
      <w:rFonts w:ascii="Cambria" w:eastAsia="Cambria" w:hAnsi="Cambria" w:cs="Cambria"/>
      <w:color w:val="000000"/>
      <w:sz w:val="24"/>
      <w:szCs w:val="24"/>
      <w:lang w:eastAsia="ja-JP"/>
    </w:rPr>
  </w:style>
  <w:style w:type="paragraph" w:styleId="TOCHeading">
    <w:name w:val="TOC Heading"/>
    <w:basedOn w:val="Heading1"/>
    <w:next w:val="Normal"/>
    <w:uiPriority w:val="39"/>
    <w:semiHidden/>
    <w:unhideWhenUsed/>
    <w:qFormat/>
    <w:rsid w:val="00CC3727"/>
    <w:pPr>
      <w:spacing w:before="480" w:after="0" w:line="276" w:lineRule="auto"/>
      <w:outlineLvl w:val="9"/>
    </w:pPr>
    <w:rPr>
      <w:rFonts w:asciiTheme="majorHAnsi" w:eastAsiaTheme="majorEastAsia" w:hAnsiTheme="majorHAnsi" w:cstheme="majorBidi"/>
      <w:caps w:val="0"/>
      <w:color w:val="365F91" w:themeColor="accent1" w:themeShade="BF"/>
      <w:lang w:val="en-US" w:eastAsia="ja-JP"/>
    </w:rPr>
  </w:style>
  <w:style w:type="paragraph" w:styleId="TOC4">
    <w:name w:val="toc 4"/>
    <w:basedOn w:val="Normal"/>
    <w:next w:val="Normal"/>
    <w:autoRedefine/>
    <w:uiPriority w:val="39"/>
    <w:unhideWhenUsed/>
    <w:rsid w:val="00CC3727"/>
    <w:pPr>
      <w:spacing w:before="0"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CC3727"/>
    <w:pPr>
      <w:spacing w:before="0"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CC3727"/>
    <w:pPr>
      <w:spacing w:before="0"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CC3727"/>
    <w:pPr>
      <w:spacing w:before="0"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CC3727"/>
    <w:pPr>
      <w:spacing w:before="0"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CC3727"/>
    <w:pPr>
      <w:spacing w:before="0" w:after="100" w:line="276" w:lineRule="auto"/>
      <w:ind w:left="1760"/>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B743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33C"/>
    <w:pPr>
      <w:spacing w:before="360" w:after="360"/>
    </w:pPr>
    <w:rPr>
      <w:rFonts w:ascii="Arial" w:hAnsi="Arial"/>
      <w:szCs w:val="24"/>
      <w:lang w:val="en-AU" w:eastAsia="en-AU"/>
    </w:rPr>
  </w:style>
  <w:style w:type="paragraph" w:styleId="Heading1">
    <w:name w:val="heading 1"/>
    <w:basedOn w:val="Normal"/>
    <w:next w:val="Normal"/>
    <w:link w:val="Heading1Char"/>
    <w:qFormat/>
    <w:rsid w:val="00CC3727"/>
    <w:pPr>
      <w:outlineLvl w:val="0"/>
    </w:pPr>
    <w:rPr>
      <w:rFonts w:cs="Arial"/>
      <w:b/>
      <w:caps/>
      <w:sz w:val="28"/>
      <w:szCs w:val="28"/>
    </w:rPr>
  </w:style>
  <w:style w:type="paragraph" w:styleId="Heading2">
    <w:name w:val="heading 2"/>
    <w:basedOn w:val="Normal"/>
    <w:next w:val="Normal"/>
    <w:qFormat/>
    <w:rsid w:val="00665821"/>
    <w:pPr>
      <w:outlineLvl w:val="1"/>
    </w:pPr>
    <w:rPr>
      <w:rFonts w:cs="Arial"/>
      <w:b/>
      <w:bCs/>
      <w:caps/>
      <w:szCs w:val="20"/>
    </w:rPr>
  </w:style>
  <w:style w:type="paragraph" w:styleId="Heading3">
    <w:name w:val="heading 3"/>
    <w:basedOn w:val="Normal"/>
    <w:next w:val="Normal"/>
    <w:autoRedefine/>
    <w:qFormat/>
    <w:rsid w:val="00E1390B"/>
    <w:pPr>
      <w:outlineLvl w:val="2"/>
    </w:pPr>
    <w:rPr>
      <w:rFonts w:eastAsia="Arial Narrow" w:cs="Arial"/>
      <w:b/>
      <w:bCs/>
      <w:szCs w:val="20"/>
    </w:rPr>
  </w:style>
  <w:style w:type="paragraph" w:styleId="Heading4">
    <w:name w:val="heading 4"/>
    <w:basedOn w:val="Normal"/>
    <w:next w:val="Normal"/>
    <w:qFormat/>
    <w:rsid w:val="00B7433C"/>
    <w:pPr>
      <w:outlineLvl w:val="3"/>
    </w:pPr>
    <w:rPr>
      <w:rFonts w:cs="Arial"/>
      <w:i/>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3727"/>
    <w:rPr>
      <w:rFonts w:ascii="Arial" w:hAnsi="Arial" w:cs="Arial"/>
      <w:b/>
      <w:caps/>
      <w:sz w:val="28"/>
      <w:szCs w:val="28"/>
      <w:lang w:val="en-AU" w:eastAsia="en-AU"/>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uiPriority w:val="99"/>
    <w:rsid w:val="00E161F2"/>
    <w:pPr>
      <w:tabs>
        <w:tab w:val="center" w:pos="4513"/>
        <w:tab w:val="right" w:pos="9026"/>
      </w:tabs>
    </w:pPr>
    <w:rPr>
      <w:sz w:val="18"/>
    </w:rPr>
  </w:style>
  <w:style w:type="character" w:customStyle="1" w:styleId="FooterChar">
    <w:name w:val="Footer Char"/>
    <w:link w:val="Footer"/>
    <w:uiPriority w:val="99"/>
    <w:rsid w:val="00E161F2"/>
    <w:rPr>
      <w:rFonts w:ascii="Arial" w:hAnsi="Arial"/>
      <w:sz w:val="18"/>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link w:val="BalloonText"/>
    <w:uiPriority w:val="99"/>
    <w:rsid w:val="003060D5"/>
    <w:rPr>
      <w:rFonts w:ascii="Tahoma" w:hAnsi="Tahoma" w:cs="Tahoma"/>
      <w:sz w:val="16"/>
      <w:szCs w:val="16"/>
    </w:rPr>
  </w:style>
  <w:style w:type="table" w:styleId="TableGrid">
    <w:name w:val="Table Grid"/>
    <w:basedOn w:val="TableNormal"/>
    <w:rsid w:val="008A3B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A316AB"/>
    <w:pPr>
      <w:spacing w:before="120"/>
    </w:pPr>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1"/>
      </w:numPr>
    </w:pPr>
  </w:style>
  <w:style w:type="paragraph" w:styleId="ListBullet2">
    <w:name w:val="List Bullet 2"/>
    <w:basedOn w:val="Normal"/>
    <w:rsid w:val="000B2144"/>
    <w:pPr>
      <w:numPr>
        <w:numId w:val="2"/>
      </w:numPr>
    </w:pPr>
  </w:style>
  <w:style w:type="paragraph" w:styleId="ListBullet3">
    <w:name w:val="List Bullet 3"/>
    <w:basedOn w:val="Normal"/>
    <w:rsid w:val="000B2144"/>
    <w:pPr>
      <w:numPr>
        <w:numId w:val="3"/>
      </w:numPr>
    </w:pPr>
  </w:style>
  <w:style w:type="paragraph" w:styleId="ListNumber">
    <w:name w:val="List Number"/>
    <w:basedOn w:val="Normal"/>
    <w:rsid w:val="00A341AD"/>
    <w:pPr>
      <w:numPr>
        <w:numId w:val="6"/>
      </w:numPr>
    </w:pPr>
  </w:style>
  <w:style w:type="paragraph" w:styleId="TOC2">
    <w:name w:val="toc 2"/>
    <w:basedOn w:val="Normal"/>
    <w:next w:val="Normal"/>
    <w:autoRedefine/>
    <w:uiPriority w:val="39"/>
    <w:rsid w:val="00213DB0"/>
    <w:pPr>
      <w:ind w:left="200"/>
    </w:pPr>
  </w:style>
  <w:style w:type="paragraph" w:styleId="ListNumber2">
    <w:name w:val="List Number 2"/>
    <w:basedOn w:val="Normal"/>
    <w:rsid w:val="00A60C1A"/>
    <w:pPr>
      <w:numPr>
        <w:numId w:val="5"/>
      </w:numPr>
    </w:pPr>
  </w:style>
  <w:style w:type="paragraph" w:styleId="ListNumber3">
    <w:name w:val="List Number 3"/>
    <w:basedOn w:val="Normal"/>
    <w:rsid w:val="00F971E1"/>
    <w:pPr>
      <w:numPr>
        <w:numId w:val="4"/>
      </w:numPr>
    </w:pPr>
  </w:style>
  <w:style w:type="paragraph" w:styleId="TOC3">
    <w:name w:val="toc 3"/>
    <w:basedOn w:val="Normal"/>
    <w:next w:val="Normal"/>
    <w:autoRedefine/>
    <w:uiPriority w:val="39"/>
    <w:rsid w:val="00C97E15"/>
    <w:pPr>
      <w:ind w:left="400"/>
    </w:pPr>
  </w:style>
  <w:style w:type="paragraph" w:styleId="TOC1">
    <w:name w:val="toc 1"/>
    <w:basedOn w:val="Normal"/>
    <w:next w:val="Normal"/>
    <w:autoRedefine/>
    <w:uiPriority w:val="39"/>
    <w:rsid w:val="00C97E15"/>
  </w:style>
  <w:style w:type="character" w:styleId="Hyperlink">
    <w:name w:val="Hyperlink"/>
    <w:uiPriority w:val="99"/>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customStyle="1" w:styleId="SHeading2">
    <w:name w:val="S_Heading 2"/>
    <w:basedOn w:val="Heading1"/>
    <w:next w:val="Normal"/>
    <w:link w:val="SHeading2Char"/>
    <w:autoRedefine/>
    <w:qFormat/>
    <w:rsid w:val="00C66D06"/>
    <w:pPr>
      <w:spacing w:after="120"/>
    </w:pPr>
    <w:rPr>
      <w:sz w:val="20"/>
    </w:rPr>
  </w:style>
  <w:style w:type="paragraph" w:customStyle="1" w:styleId="SHeading3">
    <w:name w:val="S_Heading 3"/>
    <w:basedOn w:val="SHeading2"/>
    <w:next w:val="Normal"/>
    <w:link w:val="SHeading3Char"/>
    <w:qFormat/>
    <w:rsid w:val="00C66D06"/>
    <w:rPr>
      <w:caps w:val="0"/>
      <w:szCs w:val="20"/>
    </w:rPr>
  </w:style>
  <w:style w:type="character" w:customStyle="1" w:styleId="SHeading2Char">
    <w:name w:val="S_Heading 2 Char"/>
    <w:link w:val="SHeading2"/>
    <w:rsid w:val="00C66D06"/>
    <w:rPr>
      <w:rFonts w:ascii="Arial" w:eastAsia="Times New Roman" w:hAnsi="Arial" w:cs="Times New Roman"/>
      <w:b/>
      <w:bCs/>
      <w:caps/>
      <w:color w:val="000000"/>
      <w:szCs w:val="28"/>
    </w:rPr>
  </w:style>
  <w:style w:type="character" w:customStyle="1" w:styleId="SHeading3Char">
    <w:name w:val="S_Heading 3 Char"/>
    <w:link w:val="SHeading3"/>
    <w:rsid w:val="00C66D06"/>
    <w:rPr>
      <w:rFonts w:ascii="Arial" w:eastAsia="Times New Roman" w:hAnsi="Arial" w:cs="Arial"/>
      <w:b/>
      <w:bCs/>
      <w:caps/>
      <w:color w:val="000000"/>
      <w:szCs w:val="28"/>
    </w:rPr>
  </w:style>
  <w:style w:type="paragraph" w:customStyle="1" w:styleId="ColorfulList-Accent11">
    <w:name w:val="Colorful List - Accent 11"/>
    <w:basedOn w:val="Normal"/>
    <w:uiPriority w:val="34"/>
    <w:qFormat/>
    <w:rsid w:val="00D65003"/>
    <w:pPr>
      <w:ind w:left="720"/>
      <w:contextualSpacing/>
    </w:pPr>
  </w:style>
  <w:style w:type="character" w:styleId="FollowedHyperlink">
    <w:name w:val="FollowedHyperlink"/>
    <w:uiPriority w:val="99"/>
    <w:unhideWhenUsed/>
    <w:rsid w:val="00165722"/>
    <w:rPr>
      <w:color w:val="800080"/>
      <w:u w:val="single"/>
    </w:rPr>
  </w:style>
  <w:style w:type="character" w:customStyle="1" w:styleId="apple-converted-space">
    <w:name w:val="apple-converted-space"/>
    <w:basedOn w:val="DefaultParagraphFont"/>
    <w:rsid w:val="00165722"/>
  </w:style>
  <w:style w:type="paragraph" w:customStyle="1" w:styleId="paragraph">
    <w:name w:val="paragraph"/>
    <w:basedOn w:val="Normal"/>
    <w:rsid w:val="00165722"/>
    <w:pPr>
      <w:spacing w:before="100" w:beforeAutospacing="1" w:after="100" w:afterAutospacing="1"/>
    </w:pPr>
    <w:rPr>
      <w:rFonts w:ascii="Times" w:eastAsia="MS Mincho" w:hAnsi="Times"/>
      <w:szCs w:val="20"/>
      <w:lang w:eastAsia="en-US"/>
    </w:rPr>
  </w:style>
  <w:style w:type="paragraph" w:customStyle="1" w:styleId="paragraphsub">
    <w:name w:val="paragraphsub"/>
    <w:basedOn w:val="Normal"/>
    <w:rsid w:val="00165722"/>
    <w:pPr>
      <w:spacing w:before="100" w:beforeAutospacing="1" w:after="100" w:afterAutospacing="1"/>
    </w:pPr>
    <w:rPr>
      <w:rFonts w:ascii="Times" w:eastAsia="MS Mincho" w:hAnsi="Times"/>
      <w:szCs w:val="20"/>
      <w:lang w:eastAsia="en-US"/>
    </w:rPr>
  </w:style>
  <w:style w:type="character" w:styleId="PageNumber">
    <w:name w:val="page number"/>
    <w:basedOn w:val="DefaultParagraphFont"/>
    <w:uiPriority w:val="99"/>
    <w:unhideWhenUsed/>
    <w:rsid w:val="00165722"/>
  </w:style>
  <w:style w:type="paragraph" w:customStyle="1" w:styleId="Normal1">
    <w:name w:val="Normal1"/>
    <w:rsid w:val="00165722"/>
    <w:rPr>
      <w:rFonts w:ascii="Cambria" w:eastAsia="Cambria" w:hAnsi="Cambria" w:cs="Cambria"/>
      <w:color w:val="000000"/>
      <w:sz w:val="24"/>
      <w:szCs w:val="24"/>
      <w:lang w:eastAsia="ja-JP"/>
    </w:rPr>
  </w:style>
  <w:style w:type="paragraph" w:styleId="NormalWeb">
    <w:name w:val="Normal (Web)"/>
    <w:basedOn w:val="Normal"/>
    <w:uiPriority w:val="99"/>
    <w:unhideWhenUsed/>
    <w:rsid w:val="00165722"/>
    <w:rPr>
      <w:rFonts w:ascii="Times New Roman" w:eastAsia="MS Mincho" w:hAnsi="Times New Roman"/>
      <w:sz w:val="24"/>
      <w:lang w:eastAsia="en-US"/>
    </w:rPr>
  </w:style>
  <w:style w:type="character" w:styleId="CommentReference">
    <w:name w:val="annotation reference"/>
    <w:uiPriority w:val="99"/>
    <w:unhideWhenUsed/>
    <w:rsid w:val="00165722"/>
    <w:rPr>
      <w:sz w:val="18"/>
      <w:szCs w:val="18"/>
    </w:rPr>
  </w:style>
  <w:style w:type="paragraph" w:styleId="CommentText">
    <w:name w:val="annotation text"/>
    <w:basedOn w:val="Normal"/>
    <w:link w:val="CommentTextChar"/>
    <w:uiPriority w:val="99"/>
    <w:unhideWhenUsed/>
    <w:rsid w:val="00165722"/>
    <w:rPr>
      <w:rFonts w:ascii="Cambria" w:eastAsia="MS Mincho" w:hAnsi="Cambria"/>
      <w:sz w:val="24"/>
      <w:lang w:eastAsia="en-US"/>
    </w:rPr>
  </w:style>
  <w:style w:type="character" w:customStyle="1" w:styleId="CommentTextChar">
    <w:name w:val="Comment Text Char"/>
    <w:link w:val="CommentText"/>
    <w:uiPriority w:val="99"/>
    <w:rsid w:val="00165722"/>
    <w:rPr>
      <w:rFonts w:ascii="Cambria" w:eastAsia="MS Mincho" w:hAnsi="Cambria"/>
      <w:sz w:val="24"/>
      <w:szCs w:val="24"/>
      <w:lang w:eastAsia="en-US"/>
    </w:rPr>
  </w:style>
  <w:style w:type="paragraph" w:styleId="CommentSubject">
    <w:name w:val="annotation subject"/>
    <w:basedOn w:val="CommentText"/>
    <w:next w:val="CommentText"/>
    <w:link w:val="CommentSubjectChar"/>
    <w:uiPriority w:val="99"/>
    <w:unhideWhenUsed/>
    <w:rsid w:val="00165722"/>
    <w:rPr>
      <w:b/>
      <w:bCs/>
      <w:sz w:val="20"/>
      <w:szCs w:val="20"/>
    </w:rPr>
  </w:style>
  <w:style w:type="character" w:customStyle="1" w:styleId="CommentSubjectChar">
    <w:name w:val="Comment Subject Char"/>
    <w:link w:val="CommentSubject"/>
    <w:uiPriority w:val="99"/>
    <w:rsid w:val="00165722"/>
    <w:rPr>
      <w:rFonts w:ascii="Cambria" w:eastAsia="MS Mincho" w:hAnsi="Cambria"/>
      <w:b/>
      <w:bCs/>
      <w:sz w:val="24"/>
      <w:szCs w:val="24"/>
      <w:lang w:eastAsia="en-US"/>
    </w:rPr>
  </w:style>
  <w:style w:type="paragraph" w:customStyle="1" w:styleId="ColorfulShading-Accent11">
    <w:name w:val="Colorful Shading - Accent 11"/>
    <w:hidden/>
    <w:uiPriority w:val="99"/>
    <w:semiHidden/>
    <w:rsid w:val="00165722"/>
    <w:rPr>
      <w:rFonts w:ascii="Cambria" w:eastAsia="MS Mincho" w:hAnsi="Cambria"/>
      <w:sz w:val="24"/>
      <w:szCs w:val="24"/>
      <w:lang w:val="en-AU"/>
    </w:rPr>
  </w:style>
  <w:style w:type="paragraph" w:styleId="FootnoteText">
    <w:name w:val="footnote text"/>
    <w:basedOn w:val="Normal"/>
    <w:link w:val="FootnoteTextChar"/>
    <w:uiPriority w:val="99"/>
    <w:unhideWhenUsed/>
    <w:rsid w:val="00165722"/>
    <w:rPr>
      <w:rFonts w:ascii="Cambria" w:eastAsia="MS Mincho" w:hAnsi="Cambria"/>
      <w:sz w:val="24"/>
      <w:lang w:eastAsia="en-US"/>
    </w:rPr>
  </w:style>
  <w:style w:type="character" w:customStyle="1" w:styleId="FootnoteTextChar">
    <w:name w:val="Footnote Text Char"/>
    <w:link w:val="FootnoteText"/>
    <w:uiPriority w:val="99"/>
    <w:rsid w:val="00165722"/>
    <w:rPr>
      <w:rFonts w:ascii="Cambria" w:eastAsia="MS Mincho" w:hAnsi="Cambria"/>
      <w:sz w:val="24"/>
      <w:szCs w:val="24"/>
      <w:lang w:eastAsia="en-US"/>
    </w:rPr>
  </w:style>
  <w:style w:type="character" w:styleId="FootnoteReference">
    <w:name w:val="footnote reference"/>
    <w:uiPriority w:val="99"/>
    <w:unhideWhenUsed/>
    <w:rsid w:val="00165722"/>
    <w:rPr>
      <w:vertAlign w:val="superscript"/>
    </w:rPr>
  </w:style>
  <w:style w:type="paragraph" w:styleId="EndnoteText">
    <w:name w:val="endnote text"/>
    <w:basedOn w:val="Normal"/>
    <w:link w:val="EndnoteTextChar"/>
    <w:rsid w:val="00165722"/>
    <w:rPr>
      <w:rFonts w:eastAsia="Cambria"/>
      <w:szCs w:val="20"/>
      <w:lang w:eastAsia="en-US"/>
    </w:rPr>
  </w:style>
  <w:style w:type="character" w:customStyle="1" w:styleId="EndnoteTextChar">
    <w:name w:val="Endnote Text Char"/>
    <w:link w:val="EndnoteText"/>
    <w:rsid w:val="00165722"/>
    <w:rPr>
      <w:rFonts w:ascii="Arial" w:eastAsia="Cambria" w:hAnsi="Arial"/>
      <w:lang w:eastAsia="en-US"/>
    </w:rPr>
  </w:style>
  <w:style w:type="character" w:styleId="Emphasis">
    <w:name w:val="Emphasis"/>
    <w:uiPriority w:val="20"/>
    <w:qFormat/>
    <w:rsid w:val="00165722"/>
    <w:rPr>
      <w:i/>
      <w:iCs/>
    </w:rPr>
  </w:style>
  <w:style w:type="character" w:styleId="EndnoteReference">
    <w:name w:val="endnote reference"/>
    <w:uiPriority w:val="99"/>
    <w:unhideWhenUsed/>
    <w:rsid w:val="00165722"/>
    <w:rPr>
      <w:vertAlign w:val="superscript"/>
    </w:rPr>
  </w:style>
  <w:style w:type="paragraph" w:customStyle="1" w:styleId="Normal10">
    <w:name w:val="Normal1"/>
    <w:rsid w:val="00165722"/>
    <w:rPr>
      <w:rFonts w:ascii="Cambria" w:eastAsia="Cambria" w:hAnsi="Cambria" w:cs="Cambria"/>
      <w:color w:val="000000"/>
      <w:sz w:val="24"/>
      <w:szCs w:val="24"/>
      <w:lang w:eastAsia="ja-JP"/>
    </w:rPr>
  </w:style>
  <w:style w:type="paragraph" w:styleId="TOCHeading">
    <w:name w:val="TOC Heading"/>
    <w:basedOn w:val="Heading1"/>
    <w:next w:val="Normal"/>
    <w:uiPriority w:val="39"/>
    <w:semiHidden/>
    <w:unhideWhenUsed/>
    <w:qFormat/>
    <w:rsid w:val="00CC3727"/>
    <w:pPr>
      <w:spacing w:before="480" w:after="0" w:line="276" w:lineRule="auto"/>
      <w:outlineLvl w:val="9"/>
    </w:pPr>
    <w:rPr>
      <w:rFonts w:asciiTheme="majorHAnsi" w:eastAsiaTheme="majorEastAsia" w:hAnsiTheme="majorHAnsi" w:cstheme="majorBidi"/>
      <w:caps w:val="0"/>
      <w:color w:val="365F91" w:themeColor="accent1" w:themeShade="BF"/>
      <w:lang w:val="en-US" w:eastAsia="ja-JP"/>
    </w:rPr>
  </w:style>
  <w:style w:type="paragraph" w:styleId="TOC4">
    <w:name w:val="toc 4"/>
    <w:basedOn w:val="Normal"/>
    <w:next w:val="Normal"/>
    <w:autoRedefine/>
    <w:uiPriority w:val="39"/>
    <w:unhideWhenUsed/>
    <w:rsid w:val="00CC3727"/>
    <w:pPr>
      <w:spacing w:before="0"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CC3727"/>
    <w:pPr>
      <w:spacing w:before="0"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CC3727"/>
    <w:pPr>
      <w:spacing w:before="0"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CC3727"/>
    <w:pPr>
      <w:spacing w:before="0"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CC3727"/>
    <w:pPr>
      <w:spacing w:before="0"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CC3727"/>
    <w:pPr>
      <w:spacing w:before="0" w:after="100" w:line="276" w:lineRule="auto"/>
      <w:ind w:left="1760"/>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B74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9326">
      <w:bodyDiv w:val="1"/>
      <w:marLeft w:val="0"/>
      <w:marRight w:val="0"/>
      <w:marTop w:val="0"/>
      <w:marBottom w:val="0"/>
      <w:divBdr>
        <w:top w:val="none" w:sz="0" w:space="0" w:color="auto"/>
        <w:left w:val="none" w:sz="0" w:space="0" w:color="auto"/>
        <w:bottom w:val="none" w:sz="0" w:space="0" w:color="auto"/>
        <w:right w:val="none" w:sz="0" w:space="0" w:color="auto"/>
      </w:divBdr>
    </w:div>
    <w:div w:id="191304199">
      <w:bodyDiv w:val="1"/>
      <w:marLeft w:val="0"/>
      <w:marRight w:val="0"/>
      <w:marTop w:val="0"/>
      <w:marBottom w:val="0"/>
      <w:divBdr>
        <w:top w:val="none" w:sz="0" w:space="0" w:color="auto"/>
        <w:left w:val="none" w:sz="0" w:space="0" w:color="auto"/>
        <w:bottom w:val="none" w:sz="0" w:space="0" w:color="auto"/>
        <w:right w:val="none" w:sz="0" w:space="0" w:color="auto"/>
      </w:divBdr>
    </w:div>
    <w:div w:id="307132367">
      <w:bodyDiv w:val="1"/>
      <w:marLeft w:val="0"/>
      <w:marRight w:val="0"/>
      <w:marTop w:val="0"/>
      <w:marBottom w:val="0"/>
      <w:divBdr>
        <w:top w:val="none" w:sz="0" w:space="0" w:color="auto"/>
        <w:left w:val="none" w:sz="0" w:space="0" w:color="auto"/>
        <w:bottom w:val="none" w:sz="0" w:space="0" w:color="auto"/>
        <w:right w:val="none" w:sz="0" w:space="0" w:color="auto"/>
      </w:divBdr>
    </w:div>
    <w:div w:id="414522891">
      <w:bodyDiv w:val="1"/>
      <w:marLeft w:val="0"/>
      <w:marRight w:val="0"/>
      <w:marTop w:val="0"/>
      <w:marBottom w:val="0"/>
      <w:divBdr>
        <w:top w:val="none" w:sz="0" w:space="0" w:color="auto"/>
        <w:left w:val="none" w:sz="0" w:space="0" w:color="auto"/>
        <w:bottom w:val="none" w:sz="0" w:space="0" w:color="auto"/>
        <w:right w:val="none" w:sz="0" w:space="0" w:color="auto"/>
      </w:divBdr>
    </w:div>
    <w:div w:id="938292793">
      <w:bodyDiv w:val="1"/>
      <w:marLeft w:val="0"/>
      <w:marRight w:val="0"/>
      <w:marTop w:val="0"/>
      <w:marBottom w:val="0"/>
      <w:divBdr>
        <w:top w:val="none" w:sz="0" w:space="0" w:color="auto"/>
        <w:left w:val="none" w:sz="0" w:space="0" w:color="auto"/>
        <w:bottom w:val="none" w:sz="0" w:space="0" w:color="auto"/>
        <w:right w:val="none" w:sz="0" w:space="0" w:color="auto"/>
      </w:divBdr>
    </w:div>
    <w:div w:id="1105274919">
      <w:bodyDiv w:val="1"/>
      <w:marLeft w:val="0"/>
      <w:marRight w:val="0"/>
      <w:marTop w:val="0"/>
      <w:marBottom w:val="0"/>
      <w:divBdr>
        <w:top w:val="none" w:sz="0" w:space="0" w:color="auto"/>
        <w:left w:val="none" w:sz="0" w:space="0" w:color="auto"/>
        <w:bottom w:val="none" w:sz="0" w:space="0" w:color="auto"/>
        <w:right w:val="none" w:sz="0" w:space="0" w:color="auto"/>
      </w:divBdr>
    </w:div>
    <w:div w:id="1170099794">
      <w:bodyDiv w:val="1"/>
      <w:marLeft w:val="0"/>
      <w:marRight w:val="0"/>
      <w:marTop w:val="0"/>
      <w:marBottom w:val="0"/>
      <w:divBdr>
        <w:top w:val="none" w:sz="0" w:space="0" w:color="auto"/>
        <w:left w:val="none" w:sz="0" w:space="0" w:color="auto"/>
        <w:bottom w:val="none" w:sz="0" w:space="0" w:color="auto"/>
        <w:right w:val="none" w:sz="0" w:space="0" w:color="auto"/>
      </w:divBdr>
    </w:div>
    <w:div w:id="1642425155">
      <w:bodyDiv w:val="1"/>
      <w:marLeft w:val="0"/>
      <w:marRight w:val="0"/>
      <w:marTop w:val="0"/>
      <w:marBottom w:val="0"/>
      <w:divBdr>
        <w:top w:val="none" w:sz="0" w:space="0" w:color="auto"/>
        <w:left w:val="none" w:sz="0" w:space="0" w:color="auto"/>
        <w:bottom w:val="none" w:sz="0" w:space="0" w:color="auto"/>
        <w:right w:val="none" w:sz="0" w:space="0" w:color="auto"/>
      </w:divBdr>
    </w:div>
    <w:div w:id="2021159849">
      <w:bodyDiv w:val="1"/>
      <w:marLeft w:val="0"/>
      <w:marRight w:val="0"/>
      <w:marTop w:val="0"/>
      <w:marBottom w:val="0"/>
      <w:divBdr>
        <w:top w:val="none" w:sz="0" w:space="0" w:color="auto"/>
        <w:left w:val="none" w:sz="0" w:space="0" w:color="auto"/>
        <w:bottom w:val="none" w:sz="0" w:space="0" w:color="auto"/>
        <w:right w:val="none" w:sz="0" w:space="0" w:color="auto"/>
      </w:divBdr>
    </w:div>
    <w:div w:id="2031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s.dap@sydney.edu.au" TargetMode="External"/><Relationship Id="rId20" Type="http://schemas.openxmlformats.org/officeDocument/2006/relationships/hyperlink" Target="http://www.fahcsia.gov.au/our-responsibilities/disability-and-carers/program-services/government-international/national-disability-strategy" TargetMode="External"/><Relationship Id="rId21" Type="http://schemas.openxmlformats.org/officeDocument/2006/relationships/hyperlink" Target="http://www.comlaw.gov.au/Details/F2011C00213" TargetMode="External"/><Relationship Id="rId22" Type="http://schemas.openxmlformats.org/officeDocument/2006/relationships/hyperlink" Target="http://www.comlaw.gov.au/Details/F2010L00668" TargetMode="External"/><Relationship Id="rId23" Type="http://schemas.openxmlformats.org/officeDocument/2006/relationships/hyperlink" Target="http://humanrights.gov.au/disability_rights/standards/www_3/www_3.html" TargetMode="External"/><Relationship Id="rId24" Type="http://schemas.openxmlformats.org/officeDocument/2006/relationships/hyperlink" Target="http://www.w3.org/TR/WCAG/" TargetMode="External"/><Relationship Id="rId25" Type="http://schemas.openxmlformats.org/officeDocument/2006/relationships/hyperlink" Target="http://www.universitiesaustralia.edu.au/resources/343/327" TargetMode="External"/><Relationship Id="rId26" Type="http://schemas.openxmlformats.org/officeDocument/2006/relationships/hyperlink" Target="http://www.adcet.edu.au/StoredFile.aspx?id=1505&amp;fn=GuidelinesInfoAccessSWD.pdf"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header" Target="head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sydney.edu.au/disability" TargetMode="External"/><Relationship Id="rId11" Type="http://schemas.openxmlformats.org/officeDocument/2006/relationships/hyperlink" Target="http://www.un.org/disabilities/default.asp?id=150" TargetMode="External"/><Relationship Id="rId12" Type="http://schemas.openxmlformats.org/officeDocument/2006/relationships/hyperlink" Target="http://www.comlaw.gov.au/Details/C2010C00023" TargetMode="External"/><Relationship Id="rId13" Type="http://schemas.openxmlformats.org/officeDocument/2006/relationships/hyperlink" Target="http://www.comlaw.gov.au/Details/C2013C00033" TargetMode="External"/><Relationship Id="rId14" Type="http://schemas.openxmlformats.org/officeDocument/2006/relationships/hyperlink" Target="http://www.comlaw.gov.au/Details/C2012C00903" TargetMode="External"/><Relationship Id="rId15" Type="http://schemas.openxmlformats.org/officeDocument/2006/relationships/hyperlink" Target="http://www.austlii.edu.au/au/legis/nsw/consol_act/aa1977204/" TargetMode="External"/><Relationship Id="rId16" Type="http://schemas.openxmlformats.org/officeDocument/2006/relationships/hyperlink" Target="http://www.austlii.edu.au/au/legis/nsw/consol_act/dsa1993213/?stem=0&amp;synonyms=0&amp;query=disability%20services%20act%201993" TargetMode="External"/><Relationship Id="rId17" Type="http://schemas.openxmlformats.org/officeDocument/2006/relationships/hyperlink" Target="http://www.comlaw.gov.au/Details/C2012C00072" TargetMode="External"/><Relationship Id="rId18" Type="http://schemas.openxmlformats.org/officeDocument/2006/relationships/hyperlink" Target="http://www.comlaw.gov.au/Details/F2005L00767" TargetMode="External"/><Relationship Id="rId19" Type="http://schemas.openxmlformats.org/officeDocument/2006/relationships/hyperlink" Target="http://foi.deewr.gov.au/node/2114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ydney.edu.au/health-sciences/cdrp/publications" TargetMode="External"/><Relationship Id="rId2" Type="http://schemas.openxmlformats.org/officeDocument/2006/relationships/hyperlink" Target="http://www.un.org/disabilities/default.asp?id=150" TargetMode="External"/><Relationship Id="rId3" Type="http://schemas.openxmlformats.org/officeDocument/2006/relationships/hyperlink" Target="http://www.disabilityrightsnow.org.au/node/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E469-355F-E045-BA32-EEDE1760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8415</Words>
  <Characters>47967</Characters>
  <Application>Microsoft Macintosh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Submission to SEG</vt:lpstr>
    </vt:vector>
  </TitlesOfParts>
  <Manager>Your Manager's Name</Manager>
  <Company>University of Sydney</Company>
  <LinksUpToDate>false</LinksUpToDate>
  <CharactersWithSpaces>56270</CharactersWithSpaces>
  <SharedDoc>false</SharedDoc>
  <HLinks>
    <vt:vector size="102" baseType="variant">
      <vt:variant>
        <vt:i4>7733296</vt:i4>
      </vt:variant>
      <vt:variant>
        <vt:i4>48</vt:i4>
      </vt:variant>
      <vt:variant>
        <vt:i4>0</vt:i4>
      </vt:variant>
      <vt:variant>
        <vt:i4>5</vt:i4>
      </vt:variant>
      <vt:variant>
        <vt:lpwstr>http://www.adcet.edu.au/StoredFile.aspx?id=1505&amp;fn=GuidelinesInfoAccessSWD.pdf</vt:lpwstr>
      </vt:variant>
      <vt:variant>
        <vt:lpwstr/>
      </vt:variant>
      <vt:variant>
        <vt:i4>1572870</vt:i4>
      </vt:variant>
      <vt:variant>
        <vt:i4>45</vt:i4>
      </vt:variant>
      <vt:variant>
        <vt:i4>0</vt:i4>
      </vt:variant>
      <vt:variant>
        <vt:i4>5</vt:i4>
      </vt:variant>
      <vt:variant>
        <vt:lpwstr>http://www.universitiesaustralia.edu.au/resources/343/327</vt:lpwstr>
      </vt:variant>
      <vt:variant>
        <vt:lpwstr/>
      </vt:variant>
      <vt:variant>
        <vt:i4>6553652</vt:i4>
      </vt:variant>
      <vt:variant>
        <vt:i4>42</vt:i4>
      </vt:variant>
      <vt:variant>
        <vt:i4>0</vt:i4>
      </vt:variant>
      <vt:variant>
        <vt:i4>5</vt:i4>
      </vt:variant>
      <vt:variant>
        <vt:lpwstr>http://www.w3.org/TR/WCAG/</vt:lpwstr>
      </vt:variant>
      <vt:variant>
        <vt:lpwstr/>
      </vt:variant>
      <vt:variant>
        <vt:i4>8061012</vt:i4>
      </vt:variant>
      <vt:variant>
        <vt:i4>39</vt:i4>
      </vt:variant>
      <vt:variant>
        <vt:i4>0</vt:i4>
      </vt:variant>
      <vt:variant>
        <vt:i4>5</vt:i4>
      </vt:variant>
      <vt:variant>
        <vt:lpwstr>http://humanrights.gov.au/disability_rights/standards/www_3/www_3.html</vt:lpwstr>
      </vt:variant>
      <vt:variant>
        <vt:lpwstr/>
      </vt:variant>
      <vt:variant>
        <vt:i4>786517</vt:i4>
      </vt:variant>
      <vt:variant>
        <vt:i4>36</vt:i4>
      </vt:variant>
      <vt:variant>
        <vt:i4>0</vt:i4>
      </vt:variant>
      <vt:variant>
        <vt:i4>5</vt:i4>
      </vt:variant>
      <vt:variant>
        <vt:lpwstr>http://www.comlaw.gov.au/Details/F2010L00668</vt:lpwstr>
      </vt:variant>
      <vt:variant>
        <vt:lpwstr/>
      </vt:variant>
      <vt:variant>
        <vt:i4>131165</vt:i4>
      </vt:variant>
      <vt:variant>
        <vt:i4>33</vt:i4>
      </vt:variant>
      <vt:variant>
        <vt:i4>0</vt:i4>
      </vt:variant>
      <vt:variant>
        <vt:i4>5</vt:i4>
      </vt:variant>
      <vt:variant>
        <vt:lpwstr>http://www.comlaw.gov.au/Details/F2011C00213</vt:lpwstr>
      </vt:variant>
      <vt:variant>
        <vt:lpwstr/>
      </vt:variant>
      <vt:variant>
        <vt:i4>2359301</vt:i4>
      </vt:variant>
      <vt:variant>
        <vt:i4>30</vt:i4>
      </vt:variant>
      <vt:variant>
        <vt:i4>0</vt:i4>
      </vt:variant>
      <vt:variant>
        <vt:i4>5</vt:i4>
      </vt:variant>
      <vt:variant>
        <vt:lpwstr>http://www.fahcsia.gov.au/our-responsibilities/disability-and-carers/program-services/government-international/national-disability-strategy</vt:lpwstr>
      </vt:variant>
      <vt:variant>
        <vt:lpwstr>1</vt:lpwstr>
      </vt:variant>
      <vt:variant>
        <vt:i4>3604576</vt:i4>
      </vt:variant>
      <vt:variant>
        <vt:i4>27</vt:i4>
      </vt:variant>
      <vt:variant>
        <vt:i4>0</vt:i4>
      </vt:variant>
      <vt:variant>
        <vt:i4>5</vt:i4>
      </vt:variant>
      <vt:variant>
        <vt:lpwstr>http://foi.deewr.gov.au/node/21146</vt:lpwstr>
      </vt:variant>
      <vt:variant>
        <vt:lpwstr/>
      </vt:variant>
      <vt:variant>
        <vt:i4>458836</vt:i4>
      </vt:variant>
      <vt:variant>
        <vt:i4>24</vt:i4>
      </vt:variant>
      <vt:variant>
        <vt:i4>0</vt:i4>
      </vt:variant>
      <vt:variant>
        <vt:i4>5</vt:i4>
      </vt:variant>
      <vt:variant>
        <vt:lpwstr>http://www.comlaw.gov.au/Details/F2005L00767</vt:lpwstr>
      </vt:variant>
      <vt:variant>
        <vt:lpwstr/>
      </vt:variant>
      <vt:variant>
        <vt:i4>458843</vt:i4>
      </vt:variant>
      <vt:variant>
        <vt:i4>21</vt:i4>
      </vt:variant>
      <vt:variant>
        <vt:i4>0</vt:i4>
      </vt:variant>
      <vt:variant>
        <vt:i4>5</vt:i4>
      </vt:variant>
      <vt:variant>
        <vt:lpwstr>http://www.comlaw.gov.au/Details/C2012C00072</vt:lpwstr>
      </vt:variant>
      <vt:variant>
        <vt:lpwstr/>
      </vt:variant>
      <vt:variant>
        <vt:i4>7536710</vt:i4>
      </vt:variant>
      <vt:variant>
        <vt:i4>18</vt:i4>
      </vt:variant>
      <vt:variant>
        <vt:i4>0</vt:i4>
      </vt:variant>
      <vt:variant>
        <vt:i4>5</vt:i4>
      </vt:variant>
      <vt:variant>
        <vt:lpwstr>http://www.austlii.edu.au/au/legis/nsw/consol_act/dsa1993213/?stem=0&amp;synonyms=0&amp;query=disability%20services%20act%201993</vt:lpwstr>
      </vt:variant>
      <vt:variant>
        <vt:lpwstr/>
      </vt:variant>
      <vt:variant>
        <vt:i4>7798812</vt:i4>
      </vt:variant>
      <vt:variant>
        <vt:i4>15</vt:i4>
      </vt:variant>
      <vt:variant>
        <vt:i4>0</vt:i4>
      </vt:variant>
      <vt:variant>
        <vt:i4>5</vt:i4>
      </vt:variant>
      <vt:variant>
        <vt:lpwstr>http://www.austlii.edu.au/au/legis/nsw/consol_act/aa1977204/</vt:lpwstr>
      </vt:variant>
      <vt:variant>
        <vt:lpwstr/>
      </vt:variant>
      <vt:variant>
        <vt:i4>983132</vt:i4>
      </vt:variant>
      <vt:variant>
        <vt:i4>12</vt:i4>
      </vt:variant>
      <vt:variant>
        <vt:i4>0</vt:i4>
      </vt:variant>
      <vt:variant>
        <vt:i4>5</vt:i4>
      </vt:variant>
      <vt:variant>
        <vt:lpwstr>http://www.comlaw.gov.au/Details/C2012C00903</vt:lpwstr>
      </vt:variant>
      <vt:variant>
        <vt:lpwstr/>
      </vt:variant>
      <vt:variant>
        <vt:i4>458847</vt:i4>
      </vt:variant>
      <vt:variant>
        <vt:i4>9</vt:i4>
      </vt:variant>
      <vt:variant>
        <vt:i4>0</vt:i4>
      </vt:variant>
      <vt:variant>
        <vt:i4>5</vt:i4>
      </vt:variant>
      <vt:variant>
        <vt:lpwstr>http://www.comlaw.gov.au/Details/C2013C00033</vt:lpwstr>
      </vt:variant>
      <vt:variant>
        <vt:lpwstr/>
      </vt:variant>
      <vt:variant>
        <vt:i4>262238</vt:i4>
      </vt:variant>
      <vt:variant>
        <vt:i4>6</vt:i4>
      </vt:variant>
      <vt:variant>
        <vt:i4>0</vt:i4>
      </vt:variant>
      <vt:variant>
        <vt:i4>5</vt:i4>
      </vt:variant>
      <vt:variant>
        <vt:lpwstr>http://www.comlaw.gov.au/Details/C2010C00023</vt:lpwstr>
      </vt:variant>
      <vt:variant>
        <vt:lpwstr/>
      </vt:variant>
      <vt:variant>
        <vt:i4>4980814</vt:i4>
      </vt:variant>
      <vt:variant>
        <vt:i4>3</vt:i4>
      </vt:variant>
      <vt:variant>
        <vt:i4>0</vt:i4>
      </vt:variant>
      <vt:variant>
        <vt:i4>5</vt:i4>
      </vt:variant>
      <vt:variant>
        <vt:lpwstr>http://www.un.org/disabilities/default.asp?id=150</vt:lpwstr>
      </vt:variant>
      <vt:variant>
        <vt:lpwstr/>
      </vt:variant>
      <vt:variant>
        <vt:i4>1441851</vt:i4>
      </vt:variant>
      <vt:variant>
        <vt:i4>0</vt:i4>
      </vt:variant>
      <vt:variant>
        <vt:i4>0</vt:i4>
      </vt:variant>
      <vt:variant>
        <vt:i4>5</vt:i4>
      </vt:variant>
      <vt:variant>
        <vt:lpwstr>mailto:ds.dap@sydney.edu.au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SEG</dc:title>
  <dc:subject>Document Subject (adjust in Document Properties)</dc:subject>
  <dc:creator>DAP Development Group</dc:creator>
  <cp:lastModifiedBy>Louise Bannerman</cp:lastModifiedBy>
  <cp:revision>2</cp:revision>
  <cp:lastPrinted>2013-02-26T00:46:00Z</cp:lastPrinted>
  <dcterms:created xsi:type="dcterms:W3CDTF">2013-05-28T03:13:00Z</dcterms:created>
  <dcterms:modified xsi:type="dcterms:W3CDTF">2013-05-28T03:13:00Z</dcterms:modified>
</cp:coreProperties>
</file>